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3EA8F">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广州市花都区2025年度第五批次城镇建设用地（广州市流溪河未贯通堤段整治工程</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〔老山河口下游右岸段〕）</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广州市花都区2025年度第五批次城镇建设用地（广州市流溪河未贯通堤段整治工程〔老山河口下游右岸段〕）</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广州市花都区2025年度第五批次城镇建设用地（广州市流溪河未贯通堤段整治工程〔老山河口下游右岸段〕）</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花东镇李溪村、石角村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土地面积共2.7315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2022年6月全部完成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5.85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1C9B43DD">
      <w:pPr>
        <w:rPr>
          <w:rFonts w:hint="eastAsia" w:ascii="黑体" w:hAnsi="黑体" w:eastAsia="黑体" w:cs="黑体"/>
        </w:rPr>
      </w:pPr>
    </w:p>
    <w:p w14:paraId="47C8634E">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40"/>
        <w:gridCol w:w="2174"/>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花东镇</w:t>
            </w: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李溪村经济联合社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0.5325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石角村经济联合社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2.199</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4.71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2.7315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5.85</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8C21B8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82F13D2"/>
    <w:rsid w:val="79560089"/>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2025-04-15T06:37:22Z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86A12F574F6B43E7A78EAE5D6580A725_13</vt:lpwstr>
  </property>
</Properties>
</file>