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07FEA">
      <w:pPr>
        <w:adjustRightInd w:val="0"/>
        <w:snapToGrid w:val="0"/>
        <w:spacing w:line="6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02A9B3E1">
      <w:pPr>
        <w:adjustRightInd w:val="0"/>
        <w:snapToGrid w:val="0"/>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w:t>
      </w:r>
      <w:r>
        <w:rPr>
          <w:rFonts w:hint="eastAsia" w:ascii="Times New Roman" w:hAnsi="Times New Roman" w:eastAsia="方正小标宋简体" w:cs="Times New Roman"/>
          <w:sz w:val="44"/>
          <w:szCs w:val="44"/>
          <w:lang w:eastAsia="zh-CN"/>
        </w:rPr>
        <w:t>02</w:t>
      </w:r>
      <w:r>
        <w:rPr>
          <w:rFonts w:hint="eastAsia" w:ascii="Times New Roman" w:hAnsi="Times New Roman" w:eastAsia="方正小标宋简体" w:cs="Times New Roman"/>
          <w:sz w:val="44"/>
          <w:szCs w:val="44"/>
          <w:lang w:val="en-US" w:eastAsia="zh-CN"/>
        </w:rPr>
        <w:t>5</w:t>
      </w:r>
      <w:r>
        <w:rPr>
          <w:rFonts w:hint="eastAsia" w:ascii="Times New Roman" w:hAnsi="Times New Roman" w:eastAsia="方正小标宋简体" w:cs="Times New Roman"/>
          <w:sz w:val="44"/>
          <w:szCs w:val="44"/>
          <w:lang w:eastAsia="zh-CN"/>
        </w:rPr>
        <w:t xml:space="preserve">   年度第</w:t>
      </w:r>
      <w:r>
        <w:rPr>
          <w:rFonts w:hint="eastAsia" w:ascii="Times New Roman" w:hAnsi="Times New Roman" w:eastAsia="方正小标宋简体" w:cs="Times New Roman"/>
          <w:sz w:val="44"/>
          <w:szCs w:val="44"/>
          <w:lang w:val="en-US" w:eastAsia="zh-CN"/>
        </w:rPr>
        <w:t>二十九</w:t>
      </w:r>
      <w:r>
        <w:rPr>
          <w:rFonts w:hint="eastAsia" w:ascii="Times New Roman" w:hAnsi="Times New Roman" w:eastAsia="方正小标宋简体" w:cs="Times New Roman"/>
          <w:sz w:val="44"/>
          <w:szCs w:val="44"/>
          <w:lang w:eastAsia="zh-CN"/>
        </w:rPr>
        <w:t>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p>
    <w:p w14:paraId="422D62CF">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被征地农民养老保障方案</w:t>
      </w:r>
    </w:p>
    <w:p w14:paraId="0B7BB3D1">
      <w:pPr>
        <w:tabs>
          <w:tab w:val="left" w:pos="2160"/>
          <w:tab w:val="left" w:pos="2340"/>
          <w:tab w:val="left" w:pos="6480"/>
        </w:tabs>
        <w:spacing w:line="579" w:lineRule="exact"/>
        <w:ind w:right="23" w:rightChars="11"/>
        <w:rPr>
          <w:rFonts w:ascii="Times New Roman" w:hAnsi="Times New Roman" w:eastAsia="仿宋_GB2312" w:cs="Times New Roman"/>
          <w:sz w:val="32"/>
          <w:szCs w:val="32"/>
          <w:shd w:val="clear" w:color="auto" w:fill="FFFFFF"/>
        </w:rPr>
      </w:pPr>
      <w:bookmarkStart w:id="0" w:name="_GoBack"/>
      <w:bookmarkEnd w:id="0"/>
    </w:p>
    <w:p w14:paraId="19E66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u w:val="single"/>
        </w:rPr>
      </w:pPr>
      <w:r>
        <w:rPr>
          <w:rFonts w:hint="eastAsia" w:ascii="仿宋_GB2312" w:hAnsi="Times New Roman" w:eastAsia="仿宋_GB2312" w:cs="Times New Roman"/>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（劳社部发〔2007〕14号，下称劳社部发〔2007〕14号）</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穗</w:t>
      </w:r>
      <w:r>
        <w:rPr>
          <w:rFonts w:ascii="Times New Roman" w:hAnsi="Times New Roman" w:eastAsia="仿宋_GB2312" w:cs="Times New Roman"/>
          <w:kern w:val="0"/>
          <w:sz w:val="32"/>
          <w:szCs w:val="32"/>
          <w:shd w:val="clear" w:color="auto" w:fill="FFFFFF"/>
          <w:lang w:bidi="ar"/>
        </w:rPr>
        <w:t>府办</w:t>
      </w:r>
      <w:r>
        <w:rPr>
          <w:rFonts w:hint="eastAsia" w:ascii="Times New Roman" w:hAnsi="Times New Roman" w:eastAsia="仿宋_GB2312" w:cs="Times New Roman"/>
          <w:kern w:val="0"/>
          <w:sz w:val="32"/>
          <w:szCs w:val="32"/>
          <w:shd w:val="clear" w:color="auto" w:fill="FFFFFF"/>
          <w:lang w:bidi="ar"/>
        </w:rPr>
        <w:t>规</w:t>
      </w:r>
      <w:r>
        <w:rPr>
          <w:rFonts w:ascii="Times New Roman" w:hAnsi="Times New Roman" w:eastAsia="仿宋_GB2312" w:cs="Times New Roman"/>
          <w:kern w:val="0"/>
          <w:sz w:val="32"/>
          <w:szCs w:val="32"/>
          <w:shd w:val="clear" w:color="auto" w:fill="FFFFFF"/>
          <w:lang w:bidi="ar"/>
        </w:rPr>
        <w:t>〔202</w:t>
      </w:r>
      <w:r>
        <w:rPr>
          <w:rFonts w:hint="eastAsia" w:ascii="Times New Roman" w:hAnsi="Times New Roman" w:eastAsia="仿宋_GB2312" w:cs="Times New Roman"/>
          <w:kern w:val="0"/>
          <w:sz w:val="32"/>
          <w:szCs w:val="32"/>
          <w:shd w:val="clear" w:color="auto" w:fill="FFFFFF"/>
          <w:lang w:bidi="ar"/>
        </w:rPr>
        <w:t>2</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3</w:t>
      </w:r>
      <w:r>
        <w:rPr>
          <w:rFonts w:ascii="Times New Roman" w:hAnsi="Times New Roman" w:eastAsia="仿宋_GB2312" w:cs="Times New Roman"/>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2025年度第二十九批次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7FCD23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2025年度第二十九批次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p>
    <w:p w14:paraId="1B7D8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default" w:ascii="Times New Roman" w:hAnsi="Times New Roman" w:eastAsia="仿宋_GB2312" w:cs="Times New Roman"/>
          <w:color w:val="000000"/>
          <w:sz w:val="32"/>
          <w:szCs w:val="32"/>
          <w:lang w:bidi="ar"/>
        </w:rPr>
        <w:t>新龙镇镇龙村上境第一经济合作社、镇龙村上境第二经济合作社、镇龙村上境第三经济合作社、镇龙村上境第四经济合</w:t>
      </w:r>
      <w:r>
        <w:rPr>
          <w:rFonts w:hint="default" w:ascii="Times New Roman" w:hAnsi="Times New Roman" w:eastAsia="仿宋_GB2312" w:cs="Times New Roman"/>
          <w:kern w:val="0"/>
          <w:sz w:val="32"/>
          <w:szCs w:val="32"/>
          <w:shd w:val="clear" w:color="auto" w:fill="FFFFFF"/>
          <w:lang w:bidi="ar"/>
        </w:rPr>
        <w:t>作社</w:t>
      </w:r>
      <w:r>
        <w:rPr>
          <w:rFonts w:hint="eastAsia" w:ascii="Times New Roman" w:hAnsi="Times New Roman" w:eastAsia="仿宋_GB2312" w:cs="Times New Roman"/>
          <w:kern w:val="0"/>
          <w:sz w:val="32"/>
          <w:szCs w:val="32"/>
          <w:shd w:val="clear" w:color="auto" w:fill="FFFFFF"/>
          <w:lang w:eastAsia="zh-CN" w:bidi="ar"/>
        </w:rPr>
        <w:t>（共有）</w:t>
      </w:r>
      <w:r>
        <w:rPr>
          <w:rFonts w:hint="eastAsia" w:ascii="Times New Roman" w:hAnsi="Times New Roman" w:eastAsia="仿宋_GB2312" w:cs="Times New Roman"/>
          <w:kern w:val="0"/>
          <w:sz w:val="32"/>
          <w:szCs w:val="32"/>
          <w:shd w:val="clear" w:color="auto" w:fill="FFFFFF"/>
          <w:lang w:bidi="ar"/>
        </w:rPr>
        <w:t>集体土地</w:t>
      </w:r>
      <w:r>
        <w:rPr>
          <w:rFonts w:hint="eastAsia" w:ascii="Times New Roman" w:hAnsi="Times New Roman" w:eastAsia="仿宋_GB2312" w:cs="Times New Roman"/>
          <w:color w:val="000000"/>
          <w:kern w:val="0"/>
          <w:sz w:val="32"/>
          <w:szCs w:val="32"/>
          <w:shd w:val="clear" w:color="auto" w:fill="FFFFFF"/>
          <w:lang w:bidi="ar"/>
        </w:rPr>
        <w:t>面积共</w:t>
      </w:r>
      <w:r>
        <w:rPr>
          <w:rFonts w:hint="eastAsia" w:ascii="Times New Roman" w:hAnsi="Times New Roman" w:eastAsia="仿宋_GB2312" w:cs="Times New Roman"/>
          <w:color w:val="000000"/>
          <w:sz w:val="32"/>
          <w:szCs w:val="32"/>
          <w:lang w:val="en-US" w:eastAsia="zh-CN" w:bidi="ar"/>
        </w:rPr>
        <w:t>106.9530</w:t>
      </w:r>
      <w:r>
        <w:rPr>
          <w:rFonts w:hint="eastAsia" w:ascii="Times New Roman" w:hAnsi="Times New Roman" w:eastAsia="仿宋_GB2312" w:cs="Times New Roman"/>
          <w:color w:val="000000"/>
          <w:kern w:val="0"/>
          <w:sz w:val="32"/>
          <w:szCs w:val="32"/>
          <w:shd w:val="clear" w:color="auto" w:fill="FFFFFF"/>
          <w:lang w:eastAsia="zh-CN" w:bidi="ar"/>
        </w:rPr>
        <w:t>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shd w:val="clear" w:color="auto" w:fill="FFFFFF"/>
          <w:lang w:val="en-US" w:eastAsia="zh-CN" w:bidi="ar"/>
        </w:rPr>
        <w:t>264.18</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万元由征地主体（用地单位）一次性预存入我区人力资源社会保障部门开设的“收缴被征地农民养老保障资金过渡户”，单列计提并计入征地成本，纳入工程项目概算。</w:t>
      </w:r>
    </w:p>
    <w:p w14:paraId="4A5A6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shd w:val="clear" w:color="auto" w:fill="FFFFFF"/>
          <w:lang w:bidi="ar"/>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Times New Roman" w:hAnsi="Times New Roman" w:eastAsia="仿宋_GB2312" w:cs="Times New Roman"/>
          <w:color w:val="000000"/>
          <w:kern w:val="0"/>
          <w:sz w:val="32"/>
          <w:szCs w:val="32"/>
          <w:shd w:val="clear" w:color="auto" w:fill="FFFFFF"/>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53A63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shd w:val="clear" w:color="auto" w:fill="FFFFFF"/>
          <w:lang w:bidi="ar"/>
        </w:rPr>
      </w:pPr>
      <w:r>
        <w:rPr>
          <w:rFonts w:hint="eastAsia" w:ascii="黑体" w:hAnsi="黑体" w:eastAsia="黑体" w:cs="Times New Roman"/>
          <w:bCs/>
          <w:kern w:val="0"/>
          <w:sz w:val="32"/>
          <w:szCs w:val="32"/>
          <w:shd w:val="clear" w:color="auto" w:fill="FFFFFF"/>
        </w:rPr>
        <w:t>四、征地社保费分配。</w:t>
      </w:r>
      <w:r>
        <w:rPr>
          <w:rFonts w:hint="eastAsia" w:ascii="Times New Roman" w:hAnsi="Times New Roman" w:eastAsia="仿宋_GB2312" w:cs="Times New Roman"/>
          <w:color w:val="000000"/>
          <w:kern w:val="0"/>
          <w:sz w:val="32"/>
          <w:szCs w:val="32"/>
          <w:shd w:val="clear" w:color="auto" w:fill="FFFFFF"/>
          <w:lang w:bidi="ar"/>
        </w:rPr>
        <w:t>一是征地社保费专款用于被征地农民的基本养老保险补贴。二是落实“征地社保费与征地安置补偿费同期拨付”和“在项目获批后3个月内完成资金分配工作，落实参保到人”的有关规定。乡镇人民政府按规定牵头做好被征地农民的失地面积及纳入征地社保费补贴范围的人数和对象审核、报送工作，及时报送所属社会保险经办部门办理社保手续。</w:t>
      </w:r>
    </w:p>
    <w:p w14:paraId="7A8C3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shd w:val="clear" w:color="auto" w:fill="FFFFFF"/>
          <w:lang w:bidi="ar"/>
        </w:rPr>
      </w:pPr>
    </w:p>
    <w:p w14:paraId="04CB7A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附表：征地土地及养老保障情况表</w:t>
      </w:r>
    </w:p>
    <w:p w14:paraId="3A2450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p>
    <w:p w14:paraId="0F5A5B8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广州市黄埔区人力资源和社会保障局</w:t>
      </w:r>
    </w:p>
    <w:p w14:paraId="35E590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p>
    <w:p w14:paraId="24C5134B">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kern w:val="0"/>
          <w:sz w:val="32"/>
          <w:szCs w:val="32"/>
        </w:rPr>
      </w:pPr>
    </w:p>
    <w:p w14:paraId="2685F2D3">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kern w:val="0"/>
          <w:sz w:val="32"/>
          <w:szCs w:val="32"/>
        </w:rPr>
      </w:pPr>
    </w:p>
    <w:p w14:paraId="4201D096">
      <w:pPr>
        <w:jc w:val="left"/>
        <w:rPr>
          <w:rFonts w:ascii="黑体" w:hAnsi="黑体" w:eastAsia="黑体" w:cs="黑体"/>
          <w:kern w:val="0"/>
          <w:sz w:val="32"/>
          <w:szCs w:val="32"/>
        </w:rPr>
      </w:pPr>
      <w:r>
        <w:rPr>
          <w:rFonts w:hint="eastAsia" w:ascii="黑体" w:hAnsi="黑体" w:eastAsia="黑体" w:cs="黑体"/>
          <w:kern w:val="0"/>
          <w:sz w:val="32"/>
          <w:szCs w:val="32"/>
        </w:rPr>
        <w:t>附表：</w:t>
      </w:r>
    </w:p>
    <w:p w14:paraId="1030A4D1">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rPr>
        <w:t>地</w:t>
      </w:r>
      <w:r>
        <w:rPr>
          <w:rFonts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rPr>
        <w:t>和</w:t>
      </w:r>
      <w:r>
        <w:rPr>
          <w:rFonts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rPr>
        <w:t>一览</w:t>
      </w:r>
      <w:r>
        <w:rPr>
          <w:rFonts w:ascii="Times New Roman" w:hAnsi="Times New Roman" w:eastAsia="方正小标宋简体" w:cs="Times New Roman"/>
          <w:sz w:val="44"/>
          <w:szCs w:val="44"/>
        </w:rPr>
        <w:t>表</w:t>
      </w:r>
    </w:p>
    <w:p w14:paraId="5D8BB174">
      <w:pPr>
        <w:ind w:firstLine="640" w:firstLineChars="200"/>
        <w:jc w:val="right"/>
        <w:rPr>
          <w:rFonts w:eastAsia="仿宋_GB2312"/>
          <w:sz w:val="32"/>
          <w:szCs w:val="32"/>
        </w:rPr>
      </w:pPr>
      <w:r>
        <w:rPr>
          <w:rFonts w:hint="eastAsia" w:eastAsia="仿宋_GB2312"/>
          <w:sz w:val="32"/>
          <w:szCs w:val="32"/>
        </w:rPr>
        <w:t>单位：亩、万元</w:t>
      </w:r>
    </w:p>
    <w:tbl>
      <w:tblPr>
        <w:tblStyle w:val="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3211"/>
        <w:gridCol w:w="1500"/>
        <w:gridCol w:w="1440"/>
        <w:gridCol w:w="1442"/>
      </w:tblGrid>
      <w:tr w14:paraId="1B9E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4155" w:type="dxa"/>
            <w:gridSpan w:val="2"/>
            <w:shd w:val="clear" w:color="auto" w:fill="FFFFFF"/>
            <w:vAlign w:val="center"/>
          </w:tcPr>
          <w:p w14:paraId="39C7C01C">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1500" w:type="dxa"/>
            <w:vMerge w:val="restart"/>
            <w:shd w:val="clear" w:color="auto" w:fill="FFFFFF"/>
            <w:vAlign w:val="center"/>
          </w:tcPr>
          <w:p w14:paraId="64F2A438">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征收集体土地面积（亩）</w:t>
            </w:r>
          </w:p>
        </w:tc>
        <w:tc>
          <w:tcPr>
            <w:tcW w:w="1440" w:type="dxa"/>
            <w:vMerge w:val="restart"/>
            <w:shd w:val="clear" w:color="auto" w:fill="FFFFFF"/>
            <w:vAlign w:val="center"/>
          </w:tcPr>
          <w:p w14:paraId="6062E427">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其中属于被征地单位留用地面积</w:t>
            </w:r>
          </w:p>
        </w:tc>
        <w:tc>
          <w:tcPr>
            <w:tcW w:w="1442" w:type="dxa"/>
            <w:vMerge w:val="restart"/>
            <w:shd w:val="clear" w:color="auto" w:fill="FFFFFF"/>
            <w:vAlign w:val="center"/>
          </w:tcPr>
          <w:p w14:paraId="3D5AC7DD">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w:t>
            </w:r>
            <w:r>
              <w:rPr>
                <w:rFonts w:hint="eastAsia" w:ascii="Times New Roman" w:hAnsi="Times New Roman" w:eastAsia="仿宋_GB2312" w:cs="Times New Roman"/>
                <w:sz w:val="24"/>
              </w:rPr>
              <w:t>征地社保费（万元）</w:t>
            </w:r>
          </w:p>
          <w:p w14:paraId="02F8F4E2">
            <w:pPr>
              <w:widowControl/>
              <w:jc w:val="center"/>
              <w:textAlignment w:val="center"/>
              <w:rPr>
                <w:rFonts w:ascii="Times New Roman" w:hAnsi="Times New Roman" w:cs="Times New Roman"/>
                <w:sz w:val="22"/>
              </w:rPr>
            </w:pPr>
          </w:p>
        </w:tc>
      </w:tr>
      <w:tr w14:paraId="437D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shd w:val="clear" w:color="auto" w:fill="FFFFFF"/>
            <w:noWrap/>
            <w:vAlign w:val="center"/>
          </w:tcPr>
          <w:p w14:paraId="703D1F7B">
            <w:pPr>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镇/街</w:t>
            </w:r>
          </w:p>
        </w:tc>
        <w:tc>
          <w:tcPr>
            <w:tcW w:w="3211" w:type="dxa"/>
            <w:shd w:val="clear" w:color="auto" w:fill="FFFFFF"/>
            <w:vAlign w:val="center"/>
          </w:tcPr>
          <w:p w14:paraId="1BCF5F60">
            <w:pPr>
              <w:widowControl/>
              <w:jc w:val="center"/>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color w:val="000000"/>
                <w:kern w:val="0"/>
                <w:sz w:val="24"/>
                <w:szCs w:val="24"/>
                <w:lang w:val="en-US" w:eastAsia="zh-CN" w:bidi="ar"/>
              </w:rPr>
              <w:t>行政村</w:t>
            </w:r>
          </w:p>
        </w:tc>
        <w:tc>
          <w:tcPr>
            <w:tcW w:w="1500" w:type="dxa"/>
            <w:vMerge w:val="continue"/>
            <w:shd w:val="clear" w:color="auto" w:fill="FFFFFF"/>
            <w:vAlign w:val="center"/>
          </w:tcPr>
          <w:p w14:paraId="04E021DD">
            <w:pPr>
              <w:widowControl/>
              <w:jc w:val="center"/>
              <w:textAlignment w:val="center"/>
              <w:rPr>
                <w:rFonts w:ascii="Times New Roman" w:hAnsi="Times New Roman" w:cs="Times New Roman"/>
                <w:sz w:val="22"/>
              </w:rPr>
            </w:pPr>
          </w:p>
        </w:tc>
        <w:tc>
          <w:tcPr>
            <w:tcW w:w="1440" w:type="dxa"/>
            <w:vMerge w:val="continue"/>
            <w:shd w:val="clear" w:color="auto" w:fill="FFFFFF"/>
            <w:vAlign w:val="center"/>
          </w:tcPr>
          <w:p w14:paraId="291C3F1B">
            <w:pPr>
              <w:widowControl/>
              <w:jc w:val="center"/>
              <w:textAlignment w:val="center"/>
              <w:rPr>
                <w:rFonts w:ascii="Times New Roman" w:hAnsi="Times New Roman" w:cs="Times New Roman"/>
                <w:sz w:val="22"/>
              </w:rPr>
            </w:pPr>
          </w:p>
        </w:tc>
        <w:tc>
          <w:tcPr>
            <w:tcW w:w="1442" w:type="dxa"/>
            <w:vMerge w:val="continue"/>
            <w:shd w:val="clear" w:color="auto" w:fill="FFFFFF"/>
            <w:noWrap/>
            <w:vAlign w:val="center"/>
          </w:tcPr>
          <w:p w14:paraId="50C9E4A0">
            <w:pPr>
              <w:widowControl/>
              <w:jc w:val="center"/>
              <w:textAlignment w:val="center"/>
              <w:rPr>
                <w:rFonts w:ascii="Times New Roman" w:hAnsi="Times New Roman" w:cs="Times New Roman"/>
                <w:sz w:val="22"/>
              </w:rPr>
            </w:pPr>
          </w:p>
        </w:tc>
      </w:tr>
      <w:tr w14:paraId="0E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5" w:hRule="exact"/>
          <w:jc w:val="center"/>
        </w:trPr>
        <w:tc>
          <w:tcPr>
            <w:tcW w:w="944" w:type="dxa"/>
            <w:shd w:val="clear" w:color="auto" w:fill="FFFFFF"/>
            <w:noWrap/>
            <w:vAlign w:val="center"/>
          </w:tcPr>
          <w:p w14:paraId="3D2684B3">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新</w:t>
            </w:r>
          </w:p>
          <w:p w14:paraId="5C90DBA9">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龙</w:t>
            </w:r>
          </w:p>
          <w:p w14:paraId="37CD31AA">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镇</w:t>
            </w:r>
          </w:p>
        </w:tc>
        <w:tc>
          <w:tcPr>
            <w:tcW w:w="3211" w:type="dxa"/>
            <w:shd w:val="clear" w:color="auto" w:fill="FFFFFF"/>
            <w:vAlign w:val="center"/>
          </w:tcPr>
          <w:p w14:paraId="4A180EF4">
            <w:pPr>
              <w:widowControl/>
              <w:spacing w:line="28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镇龙村上境第一经济合作社、</w:t>
            </w:r>
          </w:p>
          <w:p w14:paraId="4ECA0328">
            <w:pPr>
              <w:widowControl/>
              <w:spacing w:line="28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镇龙村上境第二经济合作社、</w:t>
            </w:r>
          </w:p>
          <w:p w14:paraId="4518F882">
            <w:pPr>
              <w:widowControl/>
              <w:spacing w:line="28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镇龙村上境第三经济合作社、</w:t>
            </w:r>
          </w:p>
          <w:p w14:paraId="1C2C5C04">
            <w:pPr>
              <w:widowControl/>
              <w:spacing w:line="280" w:lineRule="exact"/>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000000"/>
                <w:sz w:val="24"/>
                <w:szCs w:val="24"/>
                <w:lang w:val="en-US" w:eastAsia="zh-CN"/>
              </w:rPr>
              <w:t>镇龙村上境第四经济合作社、（共有）</w:t>
            </w:r>
          </w:p>
        </w:tc>
        <w:tc>
          <w:tcPr>
            <w:tcW w:w="1500" w:type="dxa"/>
            <w:shd w:val="clear" w:color="auto" w:fill="FFFFFF"/>
            <w:vAlign w:val="center"/>
          </w:tcPr>
          <w:p w14:paraId="11237B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106.9530</w:t>
            </w:r>
          </w:p>
        </w:tc>
        <w:tc>
          <w:tcPr>
            <w:tcW w:w="1440" w:type="dxa"/>
            <w:shd w:val="clear" w:color="auto" w:fill="FFFFFF"/>
            <w:vAlign w:val="center"/>
          </w:tcPr>
          <w:p w14:paraId="579C35F6">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0</w:t>
            </w:r>
          </w:p>
        </w:tc>
        <w:tc>
          <w:tcPr>
            <w:tcW w:w="1442" w:type="dxa"/>
            <w:shd w:val="clear" w:color="auto" w:fill="FFFFFF"/>
            <w:noWrap/>
            <w:vAlign w:val="center"/>
          </w:tcPr>
          <w:p w14:paraId="4ABBB3DC">
            <w:pPr>
              <w:widowControl/>
              <w:jc w:val="center"/>
              <w:textAlignment w:val="center"/>
              <w:rPr>
                <w:rFonts w:hint="default" w:ascii="Times New Roman" w:hAnsi="Times New Roman" w:cs="Times New Roman" w:eastAsiaTheme="minorEastAsia"/>
                <w:sz w:val="22"/>
                <w:highlight w:val="none"/>
                <w:lang w:val="en-US" w:eastAsia="zh-CN"/>
              </w:rPr>
            </w:pPr>
            <w:r>
              <w:rPr>
                <w:rFonts w:hint="eastAsia" w:ascii="Times New Roman" w:hAnsi="Times New Roman" w:cs="Times New Roman"/>
                <w:sz w:val="22"/>
                <w:highlight w:val="none"/>
                <w:lang w:val="en-US" w:eastAsia="zh-CN"/>
              </w:rPr>
              <w:t>264.18</w:t>
            </w:r>
          </w:p>
        </w:tc>
      </w:tr>
      <w:tr w14:paraId="0838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4155" w:type="dxa"/>
            <w:gridSpan w:val="2"/>
            <w:shd w:val="clear" w:color="auto" w:fill="FFFFFF"/>
            <w:noWrap/>
            <w:vAlign w:val="center"/>
          </w:tcPr>
          <w:p w14:paraId="6B45B1A1">
            <w:pPr>
              <w:spacing w:line="360" w:lineRule="exact"/>
              <w:jc w:val="center"/>
              <w:rPr>
                <w:rFonts w:ascii="Times New Roman" w:hAnsi="Times New Roman" w:eastAsia="仿宋_GB2312" w:cs="Times New Roman"/>
                <w:b/>
                <w:bCs/>
                <w:sz w:val="22"/>
              </w:rPr>
            </w:pPr>
            <w:r>
              <w:rPr>
                <w:rFonts w:ascii="Times New Roman" w:hAnsi="Times New Roman" w:eastAsia="仿宋_GB2312" w:cs="Times New Roman"/>
                <w:b w:val="0"/>
                <w:bCs w:val="0"/>
                <w:sz w:val="22"/>
              </w:rPr>
              <w:t>合计</w:t>
            </w:r>
          </w:p>
        </w:tc>
        <w:tc>
          <w:tcPr>
            <w:tcW w:w="1500" w:type="dxa"/>
            <w:shd w:val="clear" w:color="auto" w:fill="FFFFFF"/>
            <w:vAlign w:val="center"/>
          </w:tcPr>
          <w:p w14:paraId="2494647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106.9530</w:t>
            </w:r>
          </w:p>
        </w:tc>
        <w:tc>
          <w:tcPr>
            <w:tcW w:w="1440" w:type="dxa"/>
            <w:shd w:val="clear" w:color="auto" w:fill="FFFFFF"/>
            <w:vAlign w:val="center"/>
          </w:tcPr>
          <w:p w14:paraId="765C98B2">
            <w:pPr>
              <w:keepNext w:val="0"/>
              <w:keepLines w:val="0"/>
              <w:widowControl/>
              <w:suppressLineNumbers w:val="0"/>
              <w:jc w:val="center"/>
              <w:textAlignment w:val="center"/>
              <w:rPr>
                <w:rFonts w:hint="eastAsia"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0</w:t>
            </w:r>
          </w:p>
        </w:tc>
        <w:tc>
          <w:tcPr>
            <w:tcW w:w="1442" w:type="dxa"/>
            <w:shd w:val="clear" w:color="auto" w:fill="FFFFFF"/>
            <w:noWrap/>
            <w:vAlign w:val="center"/>
          </w:tcPr>
          <w:p w14:paraId="6B7A9DF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264.18</w:t>
            </w:r>
          </w:p>
        </w:tc>
      </w:tr>
    </w:tbl>
    <w:p w14:paraId="42400F81">
      <w:pPr>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14:paraId="5F8A69E5">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征地社保费计提标准2.47万元/亩，征地社保费计算结果向上区整、精确到百元。</w:t>
      </w:r>
    </w:p>
    <w:p w14:paraId="4C4C042F">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被征收土地属于农村集体经济组织留用地的，不计提征地社保费。</w:t>
      </w:r>
    </w:p>
    <w:p w14:paraId="5AA9A33D">
      <w:pPr>
        <w:ind w:firstLine="640" w:firstLineChars="200"/>
        <w:jc w:val="left"/>
        <w:rPr>
          <w:rFonts w:ascii="仿宋_GB2312" w:hAnsi="仿宋_GB2312" w:eastAsia="仿宋_GB2312" w:cs="仿宋_GB2312"/>
          <w:kern w:val="0"/>
          <w:sz w:val="32"/>
          <w:szCs w:val="32"/>
        </w:rPr>
      </w:pPr>
    </w:p>
    <w:p w14:paraId="27103745">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18904634">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1Y2ZkZDY3YjEzODMyN2UzYjMxZmJkMjJhMGM5ZWYifQ=="/>
  </w:docVars>
  <w:rsids>
    <w:rsidRoot w:val="0B4B15E0"/>
    <w:rsid w:val="00102E53"/>
    <w:rsid w:val="00300E43"/>
    <w:rsid w:val="00C4504B"/>
    <w:rsid w:val="02204755"/>
    <w:rsid w:val="039D339B"/>
    <w:rsid w:val="062A7976"/>
    <w:rsid w:val="077346EA"/>
    <w:rsid w:val="0B4B15E0"/>
    <w:rsid w:val="0E502A76"/>
    <w:rsid w:val="0F0558D3"/>
    <w:rsid w:val="0F22011B"/>
    <w:rsid w:val="12ED5A93"/>
    <w:rsid w:val="14D56B30"/>
    <w:rsid w:val="14E65080"/>
    <w:rsid w:val="15B10430"/>
    <w:rsid w:val="15E30DAF"/>
    <w:rsid w:val="17DF06DD"/>
    <w:rsid w:val="181D1914"/>
    <w:rsid w:val="18E25FDB"/>
    <w:rsid w:val="199143DB"/>
    <w:rsid w:val="1B7350EA"/>
    <w:rsid w:val="1F67352C"/>
    <w:rsid w:val="23A520BE"/>
    <w:rsid w:val="24B628A3"/>
    <w:rsid w:val="25AC35FF"/>
    <w:rsid w:val="25FF0D7F"/>
    <w:rsid w:val="29ED39D7"/>
    <w:rsid w:val="2B373C5F"/>
    <w:rsid w:val="2B790F8A"/>
    <w:rsid w:val="2BE24FE0"/>
    <w:rsid w:val="2BEE5883"/>
    <w:rsid w:val="2DB808B0"/>
    <w:rsid w:val="2FE431A1"/>
    <w:rsid w:val="309A4696"/>
    <w:rsid w:val="3211693C"/>
    <w:rsid w:val="32634CBB"/>
    <w:rsid w:val="330D4FE6"/>
    <w:rsid w:val="33720F09"/>
    <w:rsid w:val="36A96E09"/>
    <w:rsid w:val="390C5778"/>
    <w:rsid w:val="396D6658"/>
    <w:rsid w:val="3AEF613B"/>
    <w:rsid w:val="3D374216"/>
    <w:rsid w:val="3D4D6330"/>
    <w:rsid w:val="3FD92D5A"/>
    <w:rsid w:val="411C6626"/>
    <w:rsid w:val="415F50D0"/>
    <w:rsid w:val="44187C0C"/>
    <w:rsid w:val="445C50A4"/>
    <w:rsid w:val="450A60B3"/>
    <w:rsid w:val="470D3DEB"/>
    <w:rsid w:val="481948A6"/>
    <w:rsid w:val="498A5DF4"/>
    <w:rsid w:val="4B0E7060"/>
    <w:rsid w:val="4C0A117D"/>
    <w:rsid w:val="4CC86C1A"/>
    <w:rsid w:val="4F7207DC"/>
    <w:rsid w:val="501F6D25"/>
    <w:rsid w:val="54523840"/>
    <w:rsid w:val="548337AD"/>
    <w:rsid w:val="55171365"/>
    <w:rsid w:val="55C56B10"/>
    <w:rsid w:val="57D46CB4"/>
    <w:rsid w:val="57FB16DF"/>
    <w:rsid w:val="58C73B00"/>
    <w:rsid w:val="59CB55CC"/>
    <w:rsid w:val="5C7B66D8"/>
    <w:rsid w:val="5D13628E"/>
    <w:rsid w:val="612733FB"/>
    <w:rsid w:val="62C11A44"/>
    <w:rsid w:val="6401622D"/>
    <w:rsid w:val="65B93C67"/>
    <w:rsid w:val="669A4FC6"/>
    <w:rsid w:val="67BC7440"/>
    <w:rsid w:val="68B900AD"/>
    <w:rsid w:val="6A0F312E"/>
    <w:rsid w:val="6AB22900"/>
    <w:rsid w:val="6D7E6AD2"/>
    <w:rsid w:val="6E19241B"/>
    <w:rsid w:val="6E645FA5"/>
    <w:rsid w:val="6E9C3399"/>
    <w:rsid w:val="6F073BDA"/>
    <w:rsid w:val="6F102882"/>
    <w:rsid w:val="72024232"/>
    <w:rsid w:val="73893637"/>
    <w:rsid w:val="740D14E0"/>
    <w:rsid w:val="741661E7"/>
    <w:rsid w:val="76C11EED"/>
    <w:rsid w:val="77EF3C17"/>
    <w:rsid w:val="78186E91"/>
    <w:rsid w:val="79584597"/>
    <w:rsid w:val="7ADF3369"/>
    <w:rsid w:val="7B597A93"/>
    <w:rsid w:val="7BB10514"/>
    <w:rsid w:val="7C4469A0"/>
    <w:rsid w:val="7DCF6E3B"/>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1299</Words>
  <Characters>1399</Characters>
  <Lines>19</Lines>
  <Paragraphs>5</Paragraphs>
  <TotalTime>1</TotalTime>
  <ScaleCrop>false</ScaleCrop>
  <LinksUpToDate>false</LinksUpToDate>
  <CharactersWithSpaces>1459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剑锋</cp:lastModifiedBy>
  <cp:lastPrinted>2022-09-01T06:19:00Z</cp:lastPrinted>
  <dcterms:modified xsi:type="dcterms:W3CDTF">2025-04-21T07:47:21Z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3101ED2B81D149CDBF9D6439BE898BCB_13</vt:lpwstr>
  </property>
  <property fmtid="{D5CDD505-2E9C-101B-9397-08002B2CF9AE}" pid="4" name="KSOTemplateDocerSaveRecord">
    <vt:lpwstr>eyJoZGlkIjoiNGU5NDc5MjJjMmYxYTg0ZDc1OWNiNDVhMDQxZTE5YmYiLCJ1c2VySWQiOiIyMzU4NTI2NzkifQ==</vt:lpwstr>
  </property>
</Properties>
</file>