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附件1：</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征地补偿安置方案</w:t>
      </w:r>
    </w:p>
    <w:p>
      <w:pPr>
        <w:spacing w:line="560" w:lineRule="exact"/>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为实施城镇规划，广州市南沙区人民政府拟征收黄阁镇大井经济联合社属下的集体土地</w:t>
      </w:r>
      <w:bookmarkStart w:id="0" w:name="_GoBack"/>
      <w:bookmarkEnd w:id="0"/>
      <w:r>
        <w:rPr>
          <w:rFonts w:hint="eastAsia" w:ascii="Times New Roman" w:hAnsi="Times New Roman" w:eastAsia="仿宋_GB2312" w:cs="Times New Roman"/>
          <w:sz w:val="32"/>
          <w:szCs w:val="32"/>
        </w:rPr>
        <w:t>2.3214公顷。根据《中华人民共和国土地管理法》《中华人民共和国土地管理法实施条例》等规定以及广州市征收农用地区片综合地价，拟定了征地补偿安置方案，具体如下：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收集体土地总面积2.3214公顷。根据拟征收土地现状调查，征地范围涉及土地现状农用地0.6272公顷（其中耕地0.5108公顷）、建设用地1.6942公顷。根据用地报批地类相关规则，上述征收地块报批地类为农用地0.7843公顷（</w:t>
      </w:r>
      <w:r>
        <w:rPr>
          <w:rFonts w:hint="eastAsia" w:ascii="Times New Roman" w:hAnsi="Times New Roman" w:eastAsia="仿宋_GB2312" w:cs="Times New Roman"/>
          <w:sz w:val="32"/>
          <w:szCs w:val="32"/>
          <w:lang w:val="en-US" w:eastAsia="zh-CN"/>
        </w:rPr>
        <w:t>其</w:t>
      </w:r>
      <w:r>
        <w:rPr>
          <w:rFonts w:hint="eastAsia" w:ascii="Times New Roman" w:hAnsi="Times New Roman" w:eastAsia="仿宋_GB2312" w:cs="Times New Roman"/>
          <w:sz w:val="32"/>
          <w:szCs w:val="32"/>
        </w:rPr>
        <w:t>中耕地0.5295公顷）、建设用地1.5371公顷。具体结果以用地批准结果为准。</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二、土地补偿费与安置补偿费</w:t>
      </w:r>
    </w:p>
    <w:p>
      <w:pPr>
        <w:spacing w:before="156" w:beforeLines="5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val="en-US" w:eastAsia="zh-CN"/>
        </w:rPr>
        <w:t>土</w:t>
      </w:r>
      <w:r>
        <w:rPr>
          <w:rFonts w:ascii="Times New Roman" w:hAnsi="Times New Roman" w:eastAsia="仿宋_GB2312" w:cs="Times New Roman"/>
          <w:b/>
          <w:bCs/>
          <w:sz w:val="28"/>
          <w:szCs w:val="28"/>
        </w:rPr>
        <w:t>地补偿费与安置补偿费一览表</w:t>
      </w:r>
    </w:p>
    <w:p>
      <w:pPr>
        <w:spacing w:line="560" w:lineRule="exact"/>
        <w:jc w:val="right"/>
        <w:rPr>
          <w:rFonts w:ascii="Times New Roman" w:hAnsi="Times New Roman" w:eastAsia="仿宋_GB2312" w:cs="Times New Roman"/>
          <w:sz w:val="28"/>
          <w:szCs w:val="28"/>
        </w:rPr>
      </w:pPr>
      <w:r>
        <w:rPr>
          <w:rFonts w:ascii="Times New Roman" w:hAnsi="Times New Roman" w:eastAsia="仿宋_GB2312" w:cs="Times New Roman"/>
          <w:sz w:val="22"/>
          <w:szCs w:val="22"/>
        </w:rPr>
        <w:t>（单位：公顷、万元/公顷、万元）</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750"/>
        <w:gridCol w:w="1134"/>
        <w:gridCol w:w="993"/>
        <w:gridCol w:w="1176"/>
        <w:gridCol w:w="992"/>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93" w:type="dxa"/>
            <w:vMerge w:val="restart"/>
            <w:noWrap w:val="0"/>
            <w:vAlign w:val="center"/>
          </w:tcPr>
          <w:p>
            <w:pPr>
              <w:spacing w:line="560" w:lineRule="exact"/>
              <w:jc w:val="center"/>
              <w:rPr>
                <w:rFonts w:hint="eastAsia" w:ascii="Times New Roman" w:hAnsi="Times New Roman" w:eastAsia="仿宋_GB2312" w:cs="Times New Roman"/>
                <w:b/>
                <w:bCs/>
                <w:sz w:val="24"/>
                <w:szCs w:val="20"/>
              </w:rPr>
            </w:pPr>
            <w:r>
              <w:rPr>
                <w:rFonts w:ascii="Times New Roman" w:hAnsi="Times New Roman" w:eastAsia="仿宋_GB2312" w:cs="Times New Roman"/>
                <w:b/>
                <w:bCs/>
                <w:sz w:val="24"/>
                <w:szCs w:val="20"/>
              </w:rPr>
              <w:t>单位</w:t>
            </w:r>
          </w:p>
        </w:tc>
        <w:tc>
          <w:tcPr>
            <w:tcW w:w="750" w:type="dxa"/>
            <w:vMerge w:val="restart"/>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土地</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类别</w:t>
            </w:r>
          </w:p>
        </w:tc>
        <w:tc>
          <w:tcPr>
            <w:tcW w:w="1134" w:type="dxa"/>
            <w:vMerge w:val="restart"/>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面积</w:t>
            </w:r>
          </w:p>
        </w:tc>
        <w:tc>
          <w:tcPr>
            <w:tcW w:w="2169" w:type="dxa"/>
            <w:gridSpan w:val="2"/>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土地补偿费</w:t>
            </w:r>
          </w:p>
        </w:tc>
        <w:tc>
          <w:tcPr>
            <w:tcW w:w="2268" w:type="dxa"/>
            <w:gridSpan w:val="2"/>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安置补偿费</w:t>
            </w:r>
          </w:p>
        </w:tc>
        <w:tc>
          <w:tcPr>
            <w:tcW w:w="1275" w:type="dxa"/>
            <w:vMerge w:val="restart"/>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93" w:type="dxa"/>
            <w:vMerge w:val="continue"/>
            <w:noWrap w:val="0"/>
            <w:vAlign w:val="center"/>
          </w:tcPr>
          <w:p>
            <w:pPr>
              <w:spacing w:line="560" w:lineRule="exact"/>
              <w:jc w:val="center"/>
              <w:rPr>
                <w:rFonts w:ascii="Times New Roman" w:hAnsi="Times New Roman" w:eastAsia="仿宋_GB2312" w:cs="Times New Roman"/>
                <w:b/>
                <w:bCs/>
                <w:sz w:val="24"/>
                <w:szCs w:val="20"/>
              </w:rPr>
            </w:pPr>
          </w:p>
        </w:tc>
        <w:tc>
          <w:tcPr>
            <w:tcW w:w="750" w:type="dxa"/>
            <w:vMerge w:val="continue"/>
            <w:noWrap w:val="0"/>
            <w:vAlign w:val="center"/>
          </w:tcPr>
          <w:p>
            <w:pPr>
              <w:spacing w:line="560" w:lineRule="exact"/>
              <w:jc w:val="center"/>
              <w:rPr>
                <w:rFonts w:ascii="Times New Roman" w:hAnsi="Times New Roman" w:eastAsia="仿宋_GB2312" w:cs="Times New Roman"/>
                <w:b/>
                <w:bCs/>
                <w:sz w:val="24"/>
                <w:szCs w:val="20"/>
              </w:rPr>
            </w:pPr>
          </w:p>
        </w:tc>
        <w:tc>
          <w:tcPr>
            <w:tcW w:w="1134" w:type="dxa"/>
            <w:vMerge w:val="continue"/>
            <w:noWrap w:val="0"/>
            <w:vAlign w:val="center"/>
          </w:tcPr>
          <w:p>
            <w:pPr>
              <w:spacing w:line="560" w:lineRule="exact"/>
              <w:jc w:val="center"/>
              <w:rPr>
                <w:rFonts w:ascii="Times New Roman" w:hAnsi="Times New Roman" w:eastAsia="仿宋_GB2312" w:cs="Times New Roman"/>
                <w:b/>
                <w:bCs/>
                <w:sz w:val="24"/>
                <w:szCs w:val="20"/>
              </w:rPr>
            </w:pPr>
          </w:p>
        </w:tc>
        <w:tc>
          <w:tcPr>
            <w:tcW w:w="993"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标准</w:t>
            </w:r>
          </w:p>
        </w:tc>
        <w:tc>
          <w:tcPr>
            <w:tcW w:w="1176"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金额</w:t>
            </w:r>
          </w:p>
        </w:tc>
        <w:tc>
          <w:tcPr>
            <w:tcW w:w="992"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标准</w:t>
            </w:r>
          </w:p>
        </w:tc>
        <w:tc>
          <w:tcPr>
            <w:tcW w:w="1276"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金额</w:t>
            </w:r>
          </w:p>
        </w:tc>
        <w:tc>
          <w:tcPr>
            <w:tcW w:w="1275" w:type="dxa"/>
            <w:vMerge w:val="continue"/>
            <w:tcBorders>
              <w:bottom w:val="single" w:color="auto" w:sz="4" w:space="0"/>
            </w:tcBorders>
            <w:noWrap w:val="0"/>
            <w:vAlign w:val="center"/>
          </w:tcPr>
          <w:p>
            <w:pPr>
              <w:spacing w:line="560" w:lineRule="exact"/>
              <w:jc w:val="center"/>
              <w:rPr>
                <w:rFonts w:ascii="Times New Roman" w:hAnsi="Times New Roman" w:eastAsia="仿宋_GB2312" w:cs="Times New Roman"/>
                <w:b/>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3" w:type="dxa"/>
            <w:vMerge w:val="restart"/>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黄阁镇大井经济联合社</w:t>
            </w:r>
          </w:p>
        </w:tc>
        <w:tc>
          <w:tcPr>
            <w:tcW w:w="750" w:type="dxa"/>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农用地</w:t>
            </w:r>
          </w:p>
        </w:tc>
        <w:tc>
          <w:tcPr>
            <w:tcW w:w="1134"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0.7843</w:t>
            </w:r>
          </w:p>
        </w:tc>
        <w:tc>
          <w:tcPr>
            <w:tcW w:w="993"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197.25</w:t>
            </w:r>
          </w:p>
        </w:tc>
        <w:tc>
          <w:tcPr>
            <w:tcW w:w="1176" w:type="dxa"/>
            <w:noWrap w:val="0"/>
            <w:vAlign w:val="center"/>
          </w:tcPr>
          <w:p>
            <w:pPr>
              <w:jc w:val="center"/>
              <w:rPr>
                <w:rFonts w:hint="default" w:ascii="Times New Roman" w:hAnsi="Times New Roman" w:eastAsia="仿宋_GB2312" w:cs="Times New Roman"/>
                <w:color w:val="000000"/>
                <w:kern w:val="0"/>
                <w:sz w:val="24"/>
                <w:szCs w:val="24"/>
                <w:lang w:val="en-US" w:bidi="ar"/>
              </w:rPr>
            </w:pPr>
            <w:r>
              <w:rPr>
                <w:rFonts w:hint="eastAsia" w:ascii="Times New Roman" w:hAnsi="Times New Roman" w:eastAsia="仿宋_GB2312" w:cs="Times New Roman"/>
                <w:color w:val="000000"/>
                <w:kern w:val="0"/>
                <w:sz w:val="24"/>
                <w:szCs w:val="24"/>
                <w:lang w:val="en-US" w:eastAsia="zh-CN" w:bidi="ar"/>
              </w:rPr>
              <w:t>154.7032</w:t>
            </w:r>
          </w:p>
        </w:tc>
        <w:tc>
          <w:tcPr>
            <w:tcW w:w="992" w:type="dxa"/>
            <w:noWrap w:val="0"/>
            <w:vAlign w:val="center"/>
          </w:tcPr>
          <w:p>
            <w:pPr>
              <w:jc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val="en-US" w:eastAsia="zh-CN" w:bidi="ar"/>
              </w:rPr>
              <w:t>197.25</w:t>
            </w:r>
          </w:p>
        </w:tc>
        <w:tc>
          <w:tcPr>
            <w:tcW w:w="1276"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val="en-US" w:eastAsia="zh-CN" w:bidi="ar"/>
              </w:rPr>
              <w:t>154.7032</w:t>
            </w:r>
          </w:p>
        </w:tc>
        <w:tc>
          <w:tcPr>
            <w:tcW w:w="1275" w:type="dxa"/>
            <w:noWrap w:val="0"/>
            <w:vAlign w:val="center"/>
          </w:tcPr>
          <w:p>
            <w:pPr>
              <w:jc w:val="center"/>
              <w:rPr>
                <w:rFonts w:hint="default" w:ascii="Times New Roman" w:hAnsi="Times New Roman" w:eastAsia="仿宋_GB2312" w:cs="Times New Roman"/>
                <w:color w:val="000000"/>
                <w:kern w:val="0"/>
                <w:sz w:val="24"/>
                <w:szCs w:val="24"/>
                <w:lang w:val="en-US" w:bidi="ar"/>
              </w:rPr>
            </w:pPr>
            <w:r>
              <w:rPr>
                <w:rFonts w:hint="eastAsia" w:ascii="Times New Roman" w:hAnsi="Times New Roman" w:eastAsia="仿宋_GB2312" w:cs="Times New Roman"/>
                <w:color w:val="000000"/>
                <w:kern w:val="0"/>
                <w:sz w:val="24"/>
                <w:szCs w:val="24"/>
                <w:lang w:val="en-US" w:eastAsia="zh-CN" w:bidi="ar"/>
              </w:rPr>
              <w:t>309.4064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3" w:type="dxa"/>
            <w:vMerge w:val="continue"/>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p>
        </w:tc>
        <w:tc>
          <w:tcPr>
            <w:tcW w:w="750" w:type="dxa"/>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建设用地</w:t>
            </w:r>
          </w:p>
        </w:tc>
        <w:tc>
          <w:tcPr>
            <w:tcW w:w="1134"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1.5371</w:t>
            </w:r>
          </w:p>
        </w:tc>
        <w:tc>
          <w:tcPr>
            <w:tcW w:w="993"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3</w:t>
            </w:r>
            <w:r>
              <w:rPr>
                <w:rFonts w:ascii="Times New Roman" w:hAnsi="Times New Roman" w:eastAsia="仿宋_GB2312" w:cs="Times New Roman"/>
                <w:color w:val="000000"/>
                <w:kern w:val="0"/>
                <w:sz w:val="24"/>
                <w:szCs w:val="24"/>
                <w:lang w:bidi="ar"/>
              </w:rPr>
              <w:t>94.50</w:t>
            </w:r>
          </w:p>
        </w:tc>
        <w:tc>
          <w:tcPr>
            <w:tcW w:w="1176" w:type="dxa"/>
            <w:noWrap w:val="0"/>
            <w:vAlign w:val="center"/>
          </w:tcPr>
          <w:p>
            <w:pPr>
              <w:jc w:val="center"/>
              <w:rPr>
                <w:rFonts w:hint="default" w:ascii="Times New Roman" w:hAnsi="Times New Roman" w:eastAsia="仿宋_GB2312" w:cs="Times New Roman"/>
                <w:color w:val="000000"/>
                <w:kern w:val="0"/>
                <w:sz w:val="24"/>
                <w:szCs w:val="24"/>
                <w:lang w:val="en-US" w:bidi="ar"/>
              </w:rPr>
            </w:pPr>
            <w:r>
              <w:rPr>
                <w:rFonts w:hint="eastAsia" w:ascii="Times New Roman" w:hAnsi="Times New Roman" w:eastAsia="仿宋_GB2312" w:cs="Times New Roman"/>
                <w:color w:val="000000"/>
                <w:kern w:val="0"/>
                <w:sz w:val="24"/>
                <w:szCs w:val="24"/>
                <w:lang w:val="en-US" w:eastAsia="zh-CN" w:bidi="ar"/>
              </w:rPr>
              <w:t>606.3860</w:t>
            </w:r>
          </w:p>
        </w:tc>
        <w:tc>
          <w:tcPr>
            <w:tcW w:w="992" w:type="dxa"/>
            <w:noWrap w:val="0"/>
            <w:vAlign w:val="center"/>
          </w:tcPr>
          <w:p>
            <w:pPr>
              <w:jc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0</w:t>
            </w:r>
          </w:p>
        </w:tc>
        <w:tc>
          <w:tcPr>
            <w:tcW w:w="1276"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0</w:t>
            </w:r>
          </w:p>
        </w:tc>
        <w:tc>
          <w:tcPr>
            <w:tcW w:w="1275"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val="en-US" w:eastAsia="zh-CN" w:bidi="ar"/>
              </w:rPr>
              <w:t>606.3860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4" w:type="dxa"/>
            <w:gridSpan w:val="7"/>
            <w:noWrap w:val="0"/>
            <w:vAlign w:val="center"/>
          </w:tcPr>
          <w:p>
            <w:pPr>
              <w:widowControl/>
              <w:jc w:val="center"/>
              <w:textAlignment w:val="bottom"/>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b/>
                <w:color w:val="000000"/>
                <w:kern w:val="0"/>
                <w:sz w:val="24"/>
                <w:szCs w:val="24"/>
                <w:lang w:bidi="ar"/>
              </w:rPr>
              <w:t>土地补偿费和安置补偿费合计</w:t>
            </w:r>
          </w:p>
        </w:tc>
        <w:tc>
          <w:tcPr>
            <w:tcW w:w="1275" w:type="dxa"/>
            <w:tcBorders>
              <w:top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40"/>
                <w:szCs w:val="40"/>
                <w:u w:val="none"/>
                <w:lang w:val="en-US" w:eastAsia="zh-CN" w:bidi="ar-SA"/>
              </w:rPr>
            </w:pPr>
            <w:r>
              <w:rPr>
                <w:rFonts w:hint="default" w:ascii="Times New Roman" w:hAnsi="Times New Roman" w:eastAsia="仿宋_GB2312" w:cs="Times New Roman"/>
                <w:color w:val="000000"/>
                <w:kern w:val="0"/>
                <w:sz w:val="24"/>
                <w:szCs w:val="24"/>
                <w:lang w:val="en-US" w:eastAsia="zh-CN" w:bidi="ar"/>
              </w:rPr>
              <w:t>915.7924</w:t>
            </w:r>
          </w:p>
        </w:tc>
      </w:tr>
    </w:tbl>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涉及房屋拆迁的，按照</w:t>
      </w:r>
      <w:r>
        <w:rPr>
          <w:rFonts w:hint="eastAsia" w:ascii="Times New Roman" w:hAnsi="Times New Roman" w:eastAsia="仿宋_GB2312" w:cs="Times New Roman"/>
          <w:b w:val="0"/>
          <w:sz w:val="32"/>
          <w:szCs w:val="32"/>
        </w:rPr>
        <w:t>广州市南沙区人民政府</w:t>
      </w:r>
      <w:r>
        <w:rPr>
          <w:rFonts w:ascii="Times New Roman" w:hAnsi="Times New Roman" w:eastAsia="仿宋_GB2312" w:cs="Times New Roman"/>
          <w:sz w:val="32"/>
          <w:szCs w:val="32"/>
        </w:rPr>
        <w:t>有关规定进行补偿安置。</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三、青苗补偿费及地上附着物补偿费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征地范围内的青苗补偿费及地上附着物补偿费等其他补偿费用按政府有关规定进行补偿。</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四、</w:t>
      </w:r>
      <w:r>
        <w:rPr>
          <w:rFonts w:hint="eastAsia" w:ascii="黑体" w:hAnsi="黑体" w:eastAsia="黑体" w:cs="Times New Roman"/>
          <w:sz w:val="32"/>
          <w:szCs w:val="32"/>
        </w:rPr>
        <w:t>安置措施情况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为妥善安置被征地农民，切实解决被征地农民的生产生活出路，在保证货币安置落实的同时，按实际征地面积10%计算留用地给被征地村集体。</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525710360"/>
      <w:docPartObj>
        <w:docPartGallery w:val="autotext"/>
      </w:docPartObj>
    </w:sdtPr>
    <w:sdtEndPr>
      <w:rPr>
        <w:rFonts w:hint="eastAsia" w:ascii="仿宋_GB2312" w:eastAsia="仿宋_GB2312"/>
        <w:sz w:val="28"/>
        <w:szCs w:val="28"/>
      </w:rPr>
    </w:sdtEndPr>
    <w:sdtContent>
      <w:p>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1366327873"/>
      <w:docPartObj>
        <w:docPartGallery w:val="autotext"/>
      </w:docPartObj>
    </w:sdtPr>
    <w:sdtEndPr>
      <w:rPr>
        <w:rFonts w:hint="eastAsia" w:ascii="仿宋_GB2312" w:eastAsia="仿宋_GB2312"/>
        <w:sz w:val="28"/>
        <w:szCs w:val="28"/>
      </w:rPr>
    </w:sdtEndPr>
    <w:sdtContent>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6 -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DQ0ODM0YWFiZWM5ODNlMGQyNjE4ZTVjMGE3NjgifQ=="/>
  </w:docVars>
  <w:rsids>
    <w:rsidRoot w:val="00B16924"/>
    <w:rsid w:val="0001443B"/>
    <w:rsid w:val="0001698B"/>
    <w:rsid w:val="000761C8"/>
    <w:rsid w:val="000830F2"/>
    <w:rsid w:val="0009104B"/>
    <w:rsid w:val="000D373E"/>
    <w:rsid w:val="00104181"/>
    <w:rsid w:val="001457C4"/>
    <w:rsid w:val="00161A8C"/>
    <w:rsid w:val="0018075B"/>
    <w:rsid w:val="0018433C"/>
    <w:rsid w:val="00185CAD"/>
    <w:rsid w:val="00187444"/>
    <w:rsid w:val="001C7CE3"/>
    <w:rsid w:val="00297444"/>
    <w:rsid w:val="002A4277"/>
    <w:rsid w:val="002A50A0"/>
    <w:rsid w:val="002A6BE8"/>
    <w:rsid w:val="002C1730"/>
    <w:rsid w:val="002D44F2"/>
    <w:rsid w:val="002E3367"/>
    <w:rsid w:val="002F1B31"/>
    <w:rsid w:val="0031018E"/>
    <w:rsid w:val="00326E59"/>
    <w:rsid w:val="00330D99"/>
    <w:rsid w:val="00347EC4"/>
    <w:rsid w:val="0036207B"/>
    <w:rsid w:val="003A1027"/>
    <w:rsid w:val="003A111E"/>
    <w:rsid w:val="003A11C9"/>
    <w:rsid w:val="003A25F3"/>
    <w:rsid w:val="003E66AD"/>
    <w:rsid w:val="004841A2"/>
    <w:rsid w:val="00490EBC"/>
    <w:rsid w:val="00515405"/>
    <w:rsid w:val="005649D4"/>
    <w:rsid w:val="005945B6"/>
    <w:rsid w:val="005B5301"/>
    <w:rsid w:val="005D3DD2"/>
    <w:rsid w:val="005E0FAD"/>
    <w:rsid w:val="00666C36"/>
    <w:rsid w:val="0068063A"/>
    <w:rsid w:val="00690358"/>
    <w:rsid w:val="006A136F"/>
    <w:rsid w:val="0070187C"/>
    <w:rsid w:val="00706A1B"/>
    <w:rsid w:val="00720D34"/>
    <w:rsid w:val="00732FDD"/>
    <w:rsid w:val="007500A6"/>
    <w:rsid w:val="00755D97"/>
    <w:rsid w:val="007605CC"/>
    <w:rsid w:val="00785E93"/>
    <w:rsid w:val="007C16C7"/>
    <w:rsid w:val="007D35B8"/>
    <w:rsid w:val="007D7838"/>
    <w:rsid w:val="007F197A"/>
    <w:rsid w:val="00801C61"/>
    <w:rsid w:val="00804379"/>
    <w:rsid w:val="008535CD"/>
    <w:rsid w:val="00872622"/>
    <w:rsid w:val="0089168F"/>
    <w:rsid w:val="00893424"/>
    <w:rsid w:val="008A0319"/>
    <w:rsid w:val="008C4AC3"/>
    <w:rsid w:val="00905105"/>
    <w:rsid w:val="00922F92"/>
    <w:rsid w:val="009316EC"/>
    <w:rsid w:val="0096713F"/>
    <w:rsid w:val="00997918"/>
    <w:rsid w:val="009E63FA"/>
    <w:rsid w:val="00A502CB"/>
    <w:rsid w:val="00A95555"/>
    <w:rsid w:val="00AA0630"/>
    <w:rsid w:val="00AD0F01"/>
    <w:rsid w:val="00AE6E1B"/>
    <w:rsid w:val="00B12582"/>
    <w:rsid w:val="00B13560"/>
    <w:rsid w:val="00B16924"/>
    <w:rsid w:val="00B3292A"/>
    <w:rsid w:val="00B37D56"/>
    <w:rsid w:val="00B46E8A"/>
    <w:rsid w:val="00B75691"/>
    <w:rsid w:val="00B82D86"/>
    <w:rsid w:val="00BD51A4"/>
    <w:rsid w:val="00C41BA8"/>
    <w:rsid w:val="00C52587"/>
    <w:rsid w:val="00C94DD9"/>
    <w:rsid w:val="00CA18F6"/>
    <w:rsid w:val="00CA6DEF"/>
    <w:rsid w:val="00CC480A"/>
    <w:rsid w:val="00CE6CAA"/>
    <w:rsid w:val="00CF33B4"/>
    <w:rsid w:val="00D0075F"/>
    <w:rsid w:val="00D055F6"/>
    <w:rsid w:val="00D064DE"/>
    <w:rsid w:val="00D10E0C"/>
    <w:rsid w:val="00D31056"/>
    <w:rsid w:val="00D52F7A"/>
    <w:rsid w:val="00D81E20"/>
    <w:rsid w:val="00D90192"/>
    <w:rsid w:val="00DA667C"/>
    <w:rsid w:val="00DD086F"/>
    <w:rsid w:val="00E21E49"/>
    <w:rsid w:val="00E6324F"/>
    <w:rsid w:val="00E65966"/>
    <w:rsid w:val="00E65C1F"/>
    <w:rsid w:val="00E801BB"/>
    <w:rsid w:val="00EB74E2"/>
    <w:rsid w:val="00ED1A9E"/>
    <w:rsid w:val="00ED1D66"/>
    <w:rsid w:val="00ED25C2"/>
    <w:rsid w:val="00F47EC9"/>
    <w:rsid w:val="00F50482"/>
    <w:rsid w:val="00F50809"/>
    <w:rsid w:val="00F90BF1"/>
    <w:rsid w:val="00FE004A"/>
    <w:rsid w:val="22EE268B"/>
    <w:rsid w:val="40DF5F9F"/>
    <w:rsid w:val="423200E4"/>
    <w:rsid w:val="6163350B"/>
    <w:rsid w:val="69B34728"/>
    <w:rsid w:val="6CA17A01"/>
    <w:rsid w:val="6FB72710"/>
    <w:rsid w:val="7D446CB4"/>
    <w:rsid w:val="7EEB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F077-5441-4E6F-92B2-3F8BF077D5A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535</Words>
  <Characters>644</Characters>
  <Lines>3</Lines>
  <Paragraphs>1</Paragraphs>
  <TotalTime>10</TotalTime>
  <ScaleCrop>false</ScaleCrop>
  <LinksUpToDate>false</LinksUpToDate>
  <CharactersWithSpaces>645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2018-10-17T01:18:00Z</dcterms:created>
  <dc:creator>黎智颖</dc:creator>
  <cp:lastModifiedBy>HYF</cp:lastModifiedBy>
  <cp:lastPrinted>2024-11-20T03:40:44Z</cp:lastPrinted>
  <dcterms:modified xsi:type="dcterms:W3CDTF">2024-11-20T03:40:48Z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532674FCA0D4420483F8F8CB10983053_12</vt:lpwstr>
  </property>
</Properties>
</file>