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6FC1C">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14:paraId="4A15E002">
      <w:pPr>
        <w:adjustRightInd w:val="0"/>
        <w:snapToGrid w:val="0"/>
        <w:jc w:val="center"/>
        <w:rPr>
          <w:rFonts w:hint="eastAsia" w:ascii="Times New Roman" w:hAnsi="Times New Roman" w:eastAsia="方正小标宋简体" w:cs="Times New Roman"/>
          <w:color w:val="000000"/>
          <w:sz w:val="44"/>
          <w:szCs w:val="44"/>
          <w:lang w:val="en-US" w:eastAsia="zh-CN"/>
        </w:rPr>
      </w:pPr>
    </w:p>
    <w:p w14:paraId="7635C5B9">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w:t>
      </w:r>
    </w:p>
    <w:p w14:paraId="657D1963">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2024年度第四十七批次</w:t>
      </w:r>
      <w:r>
        <w:rPr>
          <w:rFonts w:hint="default" w:ascii="Times New Roman" w:hAnsi="Times New Roman" w:eastAsia="方正小标宋简体" w:cs="Times New Roman"/>
          <w:color w:val="000000"/>
          <w:sz w:val="44"/>
          <w:szCs w:val="44"/>
          <w:lang w:val="en-US" w:eastAsia="zh-CN"/>
        </w:rPr>
        <w:t>城镇建设</w:t>
      </w:r>
    </w:p>
    <w:p w14:paraId="7059315E">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用地被征地农民</w:t>
      </w:r>
      <w:bookmarkStart w:id="0" w:name="_GoBack"/>
      <w:r>
        <w:rPr>
          <w:rFonts w:hint="default" w:ascii="Times New Roman" w:hAnsi="Times New Roman" w:eastAsia="方正小标宋简体" w:cs="Times New Roman"/>
          <w:color w:val="000000"/>
          <w:sz w:val="44"/>
          <w:szCs w:val="44"/>
          <w:lang w:val="en-US" w:eastAsia="zh-CN"/>
        </w:rPr>
        <w:t>养老保障方案</w:t>
      </w:r>
    </w:p>
    <w:bookmarkEnd w:id="0"/>
    <w:p w14:paraId="63149356">
      <w:pPr>
        <w:rPr>
          <w:rFonts w:hint="default" w:ascii="Times New Roman" w:hAnsi="Times New Roman" w:eastAsia="仿宋_GB2312" w:cs="Times New Roman"/>
          <w:kern w:val="0"/>
          <w:szCs w:val="32"/>
        </w:rPr>
      </w:pPr>
    </w:p>
    <w:p w14:paraId="3916D7A3">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年度第四十七批次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4CC3EF24">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hint="eastAsia" w:ascii="Times New Roman" w:hAnsi="Times New Roman" w:eastAsia="黑体" w:cs="Times New Roman"/>
          <w:sz w:val="32"/>
          <w:szCs w:val="32"/>
          <w:lang w:eastAsia="zh-CN"/>
        </w:rPr>
        <w:t>年度第四十七批次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shd w:val="clear" w:color="auto" w:fill="FFFFFF"/>
          <w:lang w:val="en-US" w:eastAsia="zh-CN" w:bidi="ar"/>
        </w:rPr>
        <w:t>1日</w:t>
      </w:r>
      <w:r>
        <w:rPr>
          <w:rFonts w:hint="eastAsia" w:ascii="Times New Roman" w:hAnsi="Times New Roman" w:eastAsia="仿宋_GB2312" w:cs="Times New Roman"/>
          <w:color w:val="000000"/>
          <w:kern w:val="0"/>
          <w:sz w:val="32"/>
          <w:szCs w:val="32"/>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14:paraId="57AE380F">
      <w:pPr>
        <w:ind w:firstLine="640" w:firstLineChars="200"/>
        <w:jc w:val="both"/>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年度第四十七批次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sz w:val="32"/>
          <w:szCs w:val="32"/>
          <w:lang w:val="en-US" w:eastAsia="zh-CN"/>
        </w:rPr>
        <w:t>九佛街道重岗村经济联合社、九佛街道重岗村第三经济合作社</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19.7175</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val="en-US" w:eastAsia="zh-CN" w:bidi="ar"/>
        </w:rPr>
        <w:t>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w:t>
      </w:r>
      <w:r>
        <w:rPr>
          <w:rFonts w:hint="eastAsia" w:ascii="Times New Roman" w:hAnsi="Times New Roman" w:eastAsia="仿宋_GB2312" w:cs="Times New Roman"/>
          <w:color w:val="000000"/>
          <w:sz w:val="32"/>
          <w:szCs w:val="32"/>
          <w:lang w:val="en-US" w:eastAsia="zh-CN" w:bidi="ar"/>
        </w:rPr>
        <w:t>农民共5</w:t>
      </w:r>
      <w:r>
        <w:rPr>
          <w:rFonts w:hint="eastAsia" w:ascii="仿宋_GB2312" w:hAnsi="Times New Roman" w:eastAsia="仿宋_GB2312" w:cs="Times New Roman"/>
          <w:kern w:val="0"/>
          <w:sz w:val="32"/>
          <w:szCs w:val="32"/>
          <w:shd w:val="clear" w:color="auto" w:fill="FFFFFF"/>
          <w:lang w:bidi="ar"/>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w:t>
      </w:r>
      <w:r>
        <w:rPr>
          <w:rFonts w:hint="eastAsia" w:ascii="仿宋_GB2312" w:hAnsi="Times New Roman" w:eastAsia="仿宋_GB2312" w:cs="Times New Roman"/>
          <w:kern w:val="0"/>
          <w:sz w:val="32"/>
          <w:szCs w:val="32"/>
          <w:highlight w:val="none"/>
          <w:shd w:val="clear" w:color="auto" w:fill="FFFFFF"/>
          <w:lang w:val="en-US" w:eastAsia="zh-CN" w:bidi="ar"/>
        </w:rPr>
        <w:t>九佛街道</w:t>
      </w:r>
      <w:r>
        <w:rPr>
          <w:rFonts w:hint="eastAsia" w:ascii="仿宋_GB2312" w:hAnsi="Times New Roman" w:eastAsia="仿宋_GB2312" w:cs="Times New Roman"/>
          <w:kern w:val="0"/>
          <w:sz w:val="32"/>
          <w:szCs w:val="32"/>
          <w:highlight w:val="none"/>
          <w:shd w:val="clear" w:color="auto" w:fill="FFFFFF"/>
          <w:lang w:bidi="ar"/>
        </w:rPr>
        <w:t>办事处核准、公示后确定</w:t>
      </w:r>
      <w:r>
        <w:rPr>
          <w:rFonts w:hint="eastAsia" w:ascii="仿宋_GB2312" w:hAnsi="Times New Roman" w:eastAsia="仿宋_GB2312" w:cs="Times New Roman"/>
          <w:color w:val="auto"/>
          <w:kern w:val="0"/>
          <w:sz w:val="32"/>
          <w:szCs w:val="32"/>
          <w:highlight w:val="none"/>
          <w:shd w:val="clear" w:color="auto" w:fill="FFFFFF"/>
          <w:lang w:bidi="ar"/>
        </w:rPr>
        <w:t>，</w:t>
      </w:r>
      <w:r>
        <w:rPr>
          <w:rFonts w:hint="eastAsia" w:ascii="仿宋_GB2312" w:hAnsi="Times New Roman" w:eastAsia="仿宋_GB2312" w:cs="Times New Roman"/>
          <w:kern w:val="0"/>
          <w:sz w:val="32"/>
          <w:szCs w:val="32"/>
          <w:highlight w:val="none"/>
          <w:shd w:val="clear" w:color="auto" w:fill="FFFFFF"/>
          <w:lang w:bidi="ar"/>
        </w:rPr>
        <w:t>送所属社会保险经办部门办理相关社保手续。</w:t>
      </w:r>
      <w:r>
        <w:rPr>
          <w:rFonts w:hint="default" w:ascii="Times New Roman" w:hAnsi="Times New Roman" w:eastAsia="仿宋_GB2312" w:cs="Times New Roman"/>
          <w:color w:val="auto"/>
          <w:sz w:val="32"/>
          <w:szCs w:val="32"/>
        </w:rPr>
        <w:t>按规定，在项目依法获得用地获批后三个月内落实征地社保费分配到人、落实参保。</w:t>
      </w:r>
    </w:p>
    <w:p w14:paraId="46C24ACB">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w:t>
      </w:r>
      <w:r>
        <w:rPr>
          <w:rFonts w:hint="eastAsia" w:ascii="Times New Roman" w:hAnsi="Times New Roman" w:eastAsia="仿宋_GB2312" w:cs="Times New Roman"/>
          <w:color w:val="000000"/>
          <w:kern w:val="0"/>
          <w:sz w:val="32"/>
          <w:szCs w:val="32"/>
          <w:highlight w:val="none"/>
          <w:shd w:val="clear" w:color="auto" w:fill="FFFFFF"/>
          <w:lang w:eastAsia="zh-CN" w:bidi="ar"/>
        </w:rPr>
        <w:t>地</w:t>
      </w:r>
      <w:r>
        <w:rPr>
          <w:rFonts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w:t>
      </w:r>
      <w:r>
        <w:rPr>
          <w:rFonts w:hint="eastAsia" w:ascii="Times New Roman" w:hAnsi="Times New Roman" w:eastAsia="仿宋_GB2312" w:cs="Times New Roman"/>
          <w:sz w:val="32"/>
          <w:szCs w:val="32"/>
          <w:lang w:val="en-US" w:eastAsia="zh-CN"/>
        </w:rPr>
        <w:t>共8.10万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w:t>
      </w:r>
      <w:r>
        <w:rPr>
          <w:rFonts w:ascii="Times New Roman" w:hAnsi="Times New Roman" w:eastAsia="仿宋_GB2312" w:cs="Times New Roman"/>
          <w:b w:val="0"/>
          <w:bCs w:val="0"/>
          <w:color w:val="auto"/>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专款</w:t>
      </w:r>
      <w:r>
        <w:rPr>
          <w:rFonts w:ascii="Times New Roman" w:hAnsi="Times New Roman" w:eastAsia="仿宋_GB2312" w:cs="Times New Roman"/>
          <w:sz w:val="32"/>
          <w:szCs w:val="32"/>
        </w:rPr>
        <w:t>用于支付被征地农民养老保险个人缴费费用，征地社保费单列计提并列入征地成本。</w:t>
      </w:r>
    </w:p>
    <w:p w14:paraId="1640BB9D">
      <w:pPr>
        <w:shd w:val="clear" w:color="auto" w:fill="FFFFFF"/>
        <w:spacing w:line="540" w:lineRule="exact"/>
        <w:ind w:firstLine="611" w:firstLineChars="191"/>
        <w:rPr>
          <w:rFonts w:ascii="Times New Roman" w:hAnsi="Times New Roman" w:eastAsia="仿宋_GB2312" w:cs="Times New Roman"/>
          <w:sz w:val="32"/>
          <w:szCs w:val="32"/>
        </w:rPr>
      </w:pPr>
    </w:p>
    <w:p w14:paraId="4B1AD230">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14:paraId="1F54F6F6">
      <w:pPr>
        <w:rPr>
          <w:rFonts w:hint="default" w:ascii="黑体" w:hAnsi="黑体" w:eastAsia="黑体" w:cs="黑体"/>
          <w:kern w:val="32"/>
          <w:sz w:val="32"/>
          <w:szCs w:val="32"/>
        </w:rPr>
      </w:pPr>
      <w:r>
        <w:rPr>
          <w:rFonts w:hint="default" w:ascii="Times New Roman" w:hAnsi="Times New Roman" w:eastAsia="仿宋_GB2312" w:cs="Times New Roman"/>
          <w:kern w:val="32"/>
          <w:sz w:val="32"/>
          <w:szCs w:val="32"/>
        </w:rPr>
        <w:br w:type="page"/>
      </w: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p>
    <w:p w14:paraId="089CBDD8">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14:paraId="0FC3FF69">
      <w:pPr>
        <w:ind w:firstLine="640" w:firstLineChars="200"/>
        <w:jc w:val="right"/>
        <w:rPr>
          <w:rFonts w:eastAsia="仿宋_GB2312"/>
          <w:sz w:val="32"/>
          <w:szCs w:val="32"/>
        </w:rPr>
      </w:pPr>
      <w:r>
        <w:rPr>
          <w:rFonts w:hint="eastAsia" w:eastAsia="仿宋_GB2312"/>
          <w:sz w:val="32"/>
          <w:szCs w:val="32"/>
        </w:rPr>
        <w:t>单位：亩、人、万元</w:t>
      </w:r>
    </w:p>
    <w:tbl>
      <w:tblPr>
        <w:tblStyle w:val="2"/>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45"/>
        <w:gridCol w:w="1907"/>
        <w:gridCol w:w="1063"/>
        <w:gridCol w:w="1005"/>
        <w:gridCol w:w="915"/>
        <w:gridCol w:w="780"/>
        <w:gridCol w:w="1185"/>
        <w:gridCol w:w="890"/>
        <w:gridCol w:w="1078"/>
      </w:tblGrid>
      <w:tr w14:paraId="31C7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452" w:type="dxa"/>
            <w:gridSpan w:val="2"/>
            <w:vMerge w:val="restart"/>
            <w:shd w:val="clear" w:color="auto" w:fill="FFFFFF"/>
            <w:noWrap w:val="0"/>
            <w:vAlign w:val="center"/>
          </w:tcPr>
          <w:p w14:paraId="3220D498">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63" w:type="dxa"/>
            <w:gridSpan w:val="4"/>
            <w:shd w:val="clear" w:color="auto" w:fill="FFFFFF"/>
            <w:noWrap w:val="0"/>
            <w:vAlign w:val="center"/>
          </w:tcPr>
          <w:p w14:paraId="3B9A4D0A">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noWrap w:val="0"/>
            <w:vAlign w:val="center"/>
          </w:tcPr>
          <w:p w14:paraId="3AF9A932">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90" w:type="dxa"/>
            <w:vMerge w:val="restart"/>
            <w:shd w:val="clear" w:color="auto" w:fill="FFFFFF"/>
            <w:noWrap w:val="0"/>
            <w:vAlign w:val="center"/>
          </w:tcPr>
          <w:p w14:paraId="4E996620">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078" w:type="dxa"/>
            <w:vMerge w:val="restart"/>
            <w:shd w:val="clear" w:color="auto" w:fill="FFFFFF"/>
            <w:noWrap w:val="0"/>
            <w:vAlign w:val="center"/>
          </w:tcPr>
          <w:p w14:paraId="0B48F63B">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14:paraId="0FA9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9" w:hRule="atLeast"/>
          <w:jc w:val="center"/>
        </w:trPr>
        <w:tc>
          <w:tcPr>
            <w:tcW w:w="2452" w:type="dxa"/>
            <w:gridSpan w:val="2"/>
            <w:vMerge w:val="continue"/>
            <w:shd w:val="clear" w:color="auto" w:fill="auto"/>
            <w:noWrap w:val="0"/>
            <w:vAlign w:val="center"/>
          </w:tcPr>
          <w:p w14:paraId="0B226630">
            <w:pPr>
              <w:spacing w:line="320" w:lineRule="exact"/>
              <w:jc w:val="center"/>
              <w:rPr>
                <w:rFonts w:hint="default" w:ascii="Times New Roman" w:hAnsi="Times New Roman" w:eastAsia="仿宋_GB2312" w:cs="Times New Roman"/>
                <w:sz w:val="24"/>
              </w:rPr>
            </w:pPr>
          </w:p>
        </w:tc>
        <w:tc>
          <w:tcPr>
            <w:tcW w:w="1063" w:type="dxa"/>
            <w:shd w:val="clear" w:color="auto" w:fill="FFFFFF"/>
            <w:noWrap w:val="0"/>
            <w:vAlign w:val="center"/>
          </w:tcPr>
          <w:p w14:paraId="76610248">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noWrap w:val="0"/>
            <w:vAlign w:val="center"/>
          </w:tcPr>
          <w:p w14:paraId="454AFF5E">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noWrap w:val="0"/>
            <w:vAlign w:val="center"/>
          </w:tcPr>
          <w:p w14:paraId="2AC33EF6">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noWrap w:val="0"/>
            <w:vAlign w:val="center"/>
          </w:tcPr>
          <w:p w14:paraId="597FA644">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noWrap w:val="0"/>
            <w:vAlign w:val="center"/>
          </w:tcPr>
          <w:p w14:paraId="6237789D">
            <w:pPr>
              <w:spacing w:line="320" w:lineRule="exact"/>
              <w:jc w:val="center"/>
              <w:rPr>
                <w:rFonts w:hint="default" w:ascii="Times New Roman" w:hAnsi="Times New Roman" w:eastAsia="仿宋_GB2312" w:cs="Times New Roman"/>
                <w:sz w:val="24"/>
              </w:rPr>
            </w:pPr>
          </w:p>
        </w:tc>
        <w:tc>
          <w:tcPr>
            <w:tcW w:w="890" w:type="dxa"/>
            <w:vMerge w:val="continue"/>
            <w:noWrap w:val="0"/>
            <w:vAlign w:val="center"/>
          </w:tcPr>
          <w:p w14:paraId="69C77663">
            <w:pPr>
              <w:spacing w:line="320" w:lineRule="exact"/>
              <w:jc w:val="center"/>
              <w:rPr>
                <w:rFonts w:hint="default" w:ascii="Times New Roman" w:hAnsi="Times New Roman" w:eastAsia="仿宋_GB2312" w:cs="Times New Roman"/>
                <w:sz w:val="24"/>
              </w:rPr>
            </w:pPr>
          </w:p>
        </w:tc>
        <w:tc>
          <w:tcPr>
            <w:tcW w:w="1078" w:type="dxa"/>
            <w:vMerge w:val="continue"/>
            <w:noWrap w:val="0"/>
            <w:vAlign w:val="center"/>
          </w:tcPr>
          <w:p w14:paraId="6F761711">
            <w:pPr>
              <w:spacing w:line="320" w:lineRule="exact"/>
              <w:jc w:val="center"/>
              <w:rPr>
                <w:rFonts w:hint="default" w:ascii="Times New Roman" w:hAnsi="Times New Roman" w:eastAsia="仿宋_GB2312" w:cs="Times New Roman"/>
                <w:sz w:val="24"/>
              </w:rPr>
            </w:pPr>
          </w:p>
        </w:tc>
      </w:tr>
      <w:tr w14:paraId="43F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restart"/>
            <w:shd w:val="clear" w:color="auto" w:fill="FFFFFF"/>
            <w:noWrap/>
            <w:vAlign w:val="center"/>
          </w:tcPr>
          <w:p w14:paraId="037C2BBA">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九佛街</w:t>
            </w:r>
          </w:p>
          <w:p w14:paraId="1102EF0C">
            <w:pPr>
              <w:widowControl/>
              <w:spacing w:line="280" w:lineRule="exact"/>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道</w:t>
            </w:r>
          </w:p>
        </w:tc>
        <w:tc>
          <w:tcPr>
            <w:tcW w:w="1907" w:type="dxa"/>
            <w:shd w:val="clear" w:color="auto" w:fill="FFFFFF"/>
            <w:noWrap w:val="0"/>
            <w:vAlign w:val="center"/>
          </w:tcPr>
          <w:p w14:paraId="44BC6D54">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重岗村经济联合社</w:t>
            </w:r>
          </w:p>
        </w:tc>
        <w:tc>
          <w:tcPr>
            <w:tcW w:w="1063" w:type="dxa"/>
            <w:shd w:val="clear" w:color="auto" w:fill="FFFFFF"/>
            <w:noWrap w:val="0"/>
            <w:vAlign w:val="center"/>
          </w:tcPr>
          <w:p w14:paraId="701FE6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18.9195</w:t>
            </w:r>
          </w:p>
        </w:tc>
        <w:tc>
          <w:tcPr>
            <w:tcW w:w="1005" w:type="dxa"/>
            <w:shd w:val="clear" w:color="auto" w:fill="FFFFFF"/>
            <w:noWrap w:val="0"/>
            <w:vAlign w:val="center"/>
          </w:tcPr>
          <w:p w14:paraId="6EE32E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18.9195</w:t>
            </w:r>
          </w:p>
        </w:tc>
        <w:tc>
          <w:tcPr>
            <w:tcW w:w="915" w:type="dxa"/>
            <w:shd w:val="clear" w:color="auto" w:fill="FFFFFF"/>
            <w:noWrap w:val="0"/>
            <w:vAlign w:val="center"/>
          </w:tcPr>
          <w:p w14:paraId="6A7809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noWrap w:val="0"/>
            <w:vAlign w:val="center"/>
          </w:tcPr>
          <w:p w14:paraId="0C2E8D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noWrap w:val="0"/>
            <w:vAlign w:val="center"/>
          </w:tcPr>
          <w:p w14:paraId="323A68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90" w:type="dxa"/>
            <w:shd w:val="clear" w:color="auto" w:fill="FFFFFF"/>
            <w:noWrap w:val="0"/>
            <w:vAlign w:val="center"/>
          </w:tcPr>
          <w:p w14:paraId="321382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w:t>
            </w:r>
          </w:p>
        </w:tc>
        <w:tc>
          <w:tcPr>
            <w:tcW w:w="1078" w:type="dxa"/>
            <w:shd w:val="clear" w:color="auto" w:fill="FFFFFF"/>
            <w:noWrap/>
            <w:vAlign w:val="center"/>
          </w:tcPr>
          <w:p w14:paraId="4D3409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6.48</w:t>
            </w:r>
          </w:p>
        </w:tc>
      </w:tr>
      <w:tr w14:paraId="7C7A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14:paraId="311DA7E9">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p>
        </w:tc>
        <w:tc>
          <w:tcPr>
            <w:tcW w:w="1907" w:type="dxa"/>
            <w:shd w:val="clear" w:color="auto" w:fill="FFFFFF"/>
            <w:noWrap w:val="0"/>
            <w:vAlign w:val="center"/>
          </w:tcPr>
          <w:p w14:paraId="489F3BA8">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重岗村第三经济合作社</w:t>
            </w:r>
          </w:p>
        </w:tc>
        <w:tc>
          <w:tcPr>
            <w:tcW w:w="1063" w:type="dxa"/>
            <w:shd w:val="clear" w:color="auto" w:fill="FFFFFF"/>
            <w:noWrap w:val="0"/>
            <w:vAlign w:val="center"/>
          </w:tcPr>
          <w:p w14:paraId="388EFC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0.7980</w:t>
            </w:r>
          </w:p>
        </w:tc>
        <w:tc>
          <w:tcPr>
            <w:tcW w:w="1005" w:type="dxa"/>
            <w:shd w:val="clear" w:color="auto" w:fill="FFFFFF"/>
            <w:noWrap w:val="0"/>
            <w:vAlign w:val="center"/>
          </w:tcPr>
          <w:p w14:paraId="59000D58">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0.7980</w:t>
            </w:r>
          </w:p>
        </w:tc>
        <w:tc>
          <w:tcPr>
            <w:tcW w:w="915" w:type="dxa"/>
            <w:shd w:val="clear" w:color="auto" w:fill="FFFFFF"/>
            <w:noWrap w:val="0"/>
            <w:vAlign w:val="center"/>
          </w:tcPr>
          <w:p w14:paraId="4A0608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noWrap w:val="0"/>
            <w:vAlign w:val="center"/>
          </w:tcPr>
          <w:p w14:paraId="745336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noWrap w:val="0"/>
            <w:vAlign w:val="center"/>
          </w:tcPr>
          <w:p w14:paraId="358605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90" w:type="dxa"/>
            <w:shd w:val="clear" w:color="auto" w:fill="FFFFFF"/>
            <w:noWrap w:val="0"/>
            <w:vAlign w:val="center"/>
          </w:tcPr>
          <w:p w14:paraId="42CCE7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1078" w:type="dxa"/>
            <w:shd w:val="clear" w:color="auto" w:fill="FFFFFF"/>
            <w:noWrap/>
            <w:vAlign w:val="center"/>
          </w:tcPr>
          <w:p w14:paraId="10CD00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w:t>
            </w:r>
          </w:p>
        </w:tc>
      </w:tr>
      <w:tr w14:paraId="3746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452" w:type="dxa"/>
            <w:gridSpan w:val="2"/>
            <w:shd w:val="clear" w:color="auto" w:fill="FFFFFF"/>
            <w:noWrap/>
            <w:vAlign w:val="center"/>
          </w:tcPr>
          <w:p w14:paraId="18BE8F5B">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63" w:type="dxa"/>
            <w:shd w:val="clear" w:color="auto" w:fill="FFFFFF"/>
            <w:noWrap w:val="0"/>
            <w:vAlign w:val="center"/>
          </w:tcPr>
          <w:p w14:paraId="32553758">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19.7175</w:t>
            </w:r>
          </w:p>
        </w:tc>
        <w:tc>
          <w:tcPr>
            <w:tcW w:w="1005" w:type="dxa"/>
            <w:shd w:val="clear" w:color="auto" w:fill="FFFFFF"/>
            <w:noWrap w:val="0"/>
            <w:vAlign w:val="center"/>
          </w:tcPr>
          <w:p w14:paraId="7FF61F95">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19.7175</w:t>
            </w:r>
          </w:p>
        </w:tc>
        <w:tc>
          <w:tcPr>
            <w:tcW w:w="915" w:type="dxa"/>
            <w:shd w:val="clear" w:color="auto" w:fill="FFFFFF"/>
            <w:noWrap w:val="0"/>
            <w:vAlign w:val="center"/>
          </w:tcPr>
          <w:p w14:paraId="0587F225">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780" w:type="dxa"/>
            <w:shd w:val="clear" w:color="auto" w:fill="FFFFFF"/>
            <w:noWrap w:val="0"/>
            <w:vAlign w:val="center"/>
          </w:tcPr>
          <w:p w14:paraId="52CA5436">
            <w:pPr>
              <w:keepNext w:val="0"/>
              <w:keepLines w:val="0"/>
              <w:widowControl/>
              <w:suppressLineNumbers w:val="0"/>
              <w:jc w:val="center"/>
              <w:textAlignment w:val="center"/>
              <w:rPr>
                <w:rFonts w:hint="default" w:ascii="Times New Roman" w:hAnsi="Times New Roman" w:eastAsia="宋体" w:cs="Times New Roman"/>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1185" w:type="dxa"/>
            <w:shd w:val="clear" w:color="auto" w:fill="FFFFFF"/>
            <w:noWrap w:val="0"/>
            <w:vAlign w:val="center"/>
          </w:tcPr>
          <w:p w14:paraId="49B0B1C2">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890" w:type="dxa"/>
            <w:shd w:val="clear" w:color="auto" w:fill="FFFFFF"/>
            <w:noWrap w:val="0"/>
            <w:vAlign w:val="center"/>
          </w:tcPr>
          <w:p w14:paraId="119F126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5</w:t>
            </w:r>
          </w:p>
        </w:tc>
        <w:tc>
          <w:tcPr>
            <w:tcW w:w="1078" w:type="dxa"/>
            <w:shd w:val="clear" w:color="auto" w:fill="FFFFFF"/>
            <w:noWrap/>
            <w:vAlign w:val="center"/>
          </w:tcPr>
          <w:p w14:paraId="2C919167">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8.10</w:t>
            </w:r>
          </w:p>
        </w:tc>
      </w:tr>
    </w:tbl>
    <w:p w14:paraId="3368B607">
      <w:pPr>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0DF5DC9A">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14:paraId="6A338314">
      <w:pPr>
        <w:ind w:firstLine="640" w:firstLineChars="200"/>
        <w:jc w:val="cente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日</w:t>
      </w:r>
    </w:p>
    <w:p w14:paraId="106D05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D4297"/>
    <w:rsid w:val="2DBD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2024-12-24T04:01:00Z</dcterms:created>
  <dc:creator>∰※ⅲ</dc:creator>
  <cp:lastModifiedBy>∰※ⅲ</cp:lastModifiedBy>
  <dcterms:modified xsi:type="dcterms:W3CDTF">2024-12-24T04:03:22Z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D7A4FA75575A46AD8F4A08F5C8E43010_11</vt:lpwstr>
  </property>
</Properties>
</file>