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华文中宋" w:cs="方正小标宋简体"/>
          <w:sz w:val="44"/>
          <w:szCs w:val="44"/>
          <w:highlight w:val="none"/>
        </w:rPr>
      </w:pPr>
      <w:r>
        <w:rPr>
          <w:rFonts w:hint="eastAsia" w:ascii="方正小标宋简体" w:hAnsi="方正小标宋简体" w:eastAsia="华文中宋" w:cs="方正小标宋简体"/>
          <w:sz w:val="44"/>
          <w:szCs w:val="44"/>
          <w:highlight w:val="none"/>
        </w:rPr>
        <w:t>征地补偿安置方案</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p>
    <w:p>
      <w:pPr>
        <w:pageBreakBefore w:val="0"/>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为实施广州市</w:t>
      </w:r>
      <w:r>
        <w:rPr>
          <w:rFonts w:hint="eastAsia" w:ascii="方正仿宋_GB2312" w:hAnsi="方正仿宋_GB2312" w:eastAsia="方正仿宋_GB2312" w:cs="方正仿宋_GB2312"/>
          <w:sz w:val="32"/>
          <w:szCs w:val="32"/>
          <w:highlight w:val="none"/>
          <w:lang w:val="en-US" w:eastAsia="zh-CN"/>
        </w:rPr>
        <w:t>从化</w:t>
      </w:r>
      <w:r>
        <w:rPr>
          <w:rFonts w:hint="eastAsia" w:ascii="方正仿宋_GB2312" w:hAnsi="方正仿宋_GB2312" w:eastAsia="方正仿宋_GB2312" w:cs="方正仿宋_GB2312"/>
          <w:sz w:val="32"/>
          <w:szCs w:val="32"/>
          <w:highlight w:val="none"/>
        </w:rPr>
        <w:t>区</w:t>
      </w:r>
      <w:r>
        <w:rPr>
          <w:rFonts w:hint="eastAsia" w:ascii="方正仿宋_GB2312" w:hAnsi="方正仿宋_GB2312" w:eastAsia="方正仿宋_GB2312" w:cs="方正仿宋_GB2312"/>
          <w:sz w:val="32"/>
          <w:szCs w:val="32"/>
          <w:highlight w:val="none"/>
          <w:lang w:val="en-US" w:eastAsia="zh-CN"/>
        </w:rPr>
        <w:t>太平镇</w:t>
      </w:r>
      <w:r>
        <w:rPr>
          <w:rFonts w:hint="eastAsia" w:ascii="方正仿宋_GB2312" w:hAnsi="方正仿宋_GB2312" w:eastAsia="方正仿宋_GB2312" w:cs="方正仿宋_GB2312"/>
          <w:sz w:val="32"/>
          <w:szCs w:val="32"/>
          <w:highlight w:val="none"/>
        </w:rPr>
        <w:t>建设规划，完善城市功能，改善城市环境，促进经济、文化发展，广州市</w:t>
      </w:r>
      <w:r>
        <w:rPr>
          <w:rFonts w:hint="eastAsia" w:ascii="方正仿宋_GB2312" w:hAnsi="方正仿宋_GB2312" w:eastAsia="方正仿宋_GB2312" w:cs="方正仿宋_GB2312"/>
          <w:sz w:val="32"/>
          <w:szCs w:val="32"/>
          <w:highlight w:val="none"/>
          <w:lang w:val="en-US" w:eastAsia="zh-CN"/>
        </w:rPr>
        <w:t>从化</w:t>
      </w:r>
      <w:r>
        <w:rPr>
          <w:rFonts w:hint="eastAsia" w:ascii="方正仿宋_GB2312" w:hAnsi="方正仿宋_GB2312" w:eastAsia="方正仿宋_GB2312" w:cs="方正仿宋_GB2312"/>
          <w:sz w:val="32"/>
          <w:szCs w:val="32"/>
          <w:highlight w:val="none"/>
        </w:rPr>
        <w:t>区人民政府拟征收该区</w:t>
      </w:r>
      <w:r>
        <w:rPr>
          <w:rFonts w:hint="eastAsia" w:ascii="方正仿宋_GB2312" w:hAnsi="方正仿宋_GB2312" w:eastAsia="方正仿宋_GB2312" w:cs="方正仿宋_GB2312"/>
          <w:sz w:val="32"/>
          <w:szCs w:val="32"/>
          <w:highlight w:val="none"/>
          <w:lang w:val="en-US" w:eastAsia="zh-CN"/>
        </w:rPr>
        <w:t>太平镇湖田股份合作经济联合社；木棉村宝珊股份合作经济社、北一股份合作经济社、北二股份合作经济社、李巷股份合作经济社、红星股份合作经济社、东一股份合作经济社、柿一股份合作经济社、柿二股份合作经济社、柿三股份合作经济社、万合股份合作经济社、瓦岗股份合作经济社、龙元股份合作经济社；银林村林一股份合作经济社、林二股份合作经济社、林三股份合作经济社；佛岗股份合作经济联合社</w:t>
      </w:r>
      <w:r>
        <w:rPr>
          <w:rFonts w:hint="eastAsia" w:ascii="方正仿宋_GB2312" w:hAnsi="方正仿宋_GB2312" w:eastAsia="方正仿宋_GB2312" w:cs="方正仿宋_GB2312"/>
          <w:sz w:val="32"/>
          <w:szCs w:val="32"/>
          <w:highlight w:val="none"/>
        </w:rPr>
        <w:t>属下的集体土地</w:t>
      </w:r>
      <w:r>
        <w:rPr>
          <w:rFonts w:hint="eastAsia" w:ascii="方正仿宋_GB2312" w:hAnsi="方正仿宋_GB2312" w:eastAsia="方正仿宋_GB2312" w:cs="方正仿宋_GB2312"/>
          <w:sz w:val="32"/>
          <w:szCs w:val="32"/>
          <w:highlight w:val="none"/>
          <w:lang w:val="en-US" w:eastAsia="zh-CN"/>
        </w:rPr>
        <w:t>4.5698</w:t>
      </w:r>
      <w:r>
        <w:rPr>
          <w:rFonts w:hint="eastAsia" w:ascii="方正仿宋_GB2312" w:hAnsi="方正仿宋_GB2312" w:eastAsia="方正仿宋_GB2312" w:cs="方正仿宋_GB2312"/>
          <w:sz w:val="32"/>
          <w:szCs w:val="32"/>
          <w:highlight w:val="none"/>
        </w:rPr>
        <w:t>公顷。根据《中华人民共和国土地管理法》第二条、第四十五条、第四十七条</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《中华人民共和国土地管理法</w:t>
      </w:r>
      <w:r>
        <w:rPr>
          <w:rFonts w:hint="eastAsia" w:ascii="方正仿宋_GB2312" w:hAnsi="方正仿宋_GB2312" w:eastAsia="方正仿宋_GB2312" w:cs="方正仿宋_GB2312"/>
          <w:sz w:val="32"/>
          <w:szCs w:val="32"/>
          <w:highlight w:val="none"/>
          <w:lang w:eastAsia="zh-CN"/>
        </w:rPr>
        <w:t>实施条例</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eastAsia="zh-CN"/>
        </w:rPr>
        <w:t>第二十七条、第二十八条，以及《广东省土地管理条例》第三十条等规定，</w:t>
      </w:r>
      <w:r>
        <w:rPr>
          <w:rFonts w:hint="eastAsia" w:ascii="方正仿宋_GB2312" w:hAnsi="方正仿宋_GB2312" w:eastAsia="方正仿宋_GB2312" w:cs="方正仿宋_GB2312"/>
          <w:sz w:val="32"/>
          <w:szCs w:val="32"/>
          <w:highlight w:val="none"/>
        </w:rPr>
        <w:t>结合</w:t>
      </w:r>
      <w:r>
        <w:rPr>
          <w:rFonts w:hint="eastAsia" w:ascii="方正仿宋_GB2312" w:hAnsi="方正仿宋_GB2312" w:eastAsia="方正仿宋_GB2312" w:cs="方正仿宋_GB2312"/>
          <w:sz w:val="32"/>
          <w:szCs w:val="32"/>
          <w:highlight w:val="none"/>
          <w:lang w:val="en-US" w:eastAsia="zh-CN"/>
        </w:rPr>
        <w:t>从化</w:t>
      </w:r>
      <w:r>
        <w:rPr>
          <w:rFonts w:hint="eastAsia" w:ascii="方正仿宋_GB2312" w:hAnsi="方正仿宋_GB2312" w:eastAsia="方正仿宋_GB2312" w:cs="方正仿宋_GB2312"/>
          <w:sz w:val="32"/>
          <w:szCs w:val="32"/>
          <w:highlight w:val="none"/>
        </w:rPr>
        <w:t>区的征收农用地区片综合地价和实际情况，拟定了征地补偿安置方案，具体如下：</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b w:val="0"/>
          <w:bCs/>
          <w:snapToGrid/>
          <w:color w:val="auto"/>
          <w:spacing w:val="0"/>
          <w:kern w:val="2"/>
          <w:sz w:val="32"/>
          <w:szCs w:val="32"/>
          <w:highlight w:val="none"/>
          <w:lang w:eastAsia="zh-CN"/>
        </w:rPr>
        <w:t>一、</w:t>
      </w:r>
      <w:r>
        <w:rPr>
          <w:rFonts w:hint="eastAsia" w:ascii="黑体" w:hAnsi="黑体" w:eastAsia="黑体" w:cs="黑体"/>
          <w:b w:val="0"/>
          <w:bCs/>
          <w:snapToGrid/>
          <w:color w:val="auto"/>
          <w:spacing w:val="0"/>
          <w:kern w:val="2"/>
          <w:sz w:val="32"/>
          <w:szCs w:val="32"/>
          <w:highlight w:val="none"/>
        </w:rPr>
        <w:t>征收范围</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pPr>
      <w:r>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t>拟征收土地位于</w:t>
      </w:r>
      <w:r>
        <w:rPr>
          <w:rFonts w:hint="eastAsia" w:ascii="方正仿宋_GB2312" w:hAnsi="方正仿宋_GB2312" w:eastAsia="方正仿宋_GB2312" w:cs="方正仿宋_GB2312"/>
          <w:sz w:val="32"/>
          <w:szCs w:val="32"/>
          <w:highlight w:val="none"/>
          <w:lang w:val="en-US" w:eastAsia="zh-CN"/>
        </w:rPr>
        <w:t>太平镇湖田股份合作经济联合社、木棉村宝珊股份合作经济社、北一股份合作经济社、北二股份合作经济社、李巷股份合作经济社、红星股份合作经济社、东一股份合作经济社、柿一股份合作经济社、柿二股份合作经济社、柿三股份合作经济社、万合股份合作经济社、瓦岗股份合作经济社、龙元股份合作经济社；银林村林一股份合作经济社、林二股份合作经济社、林三股份合作经济社；佛岗股份合作经济联合社</w:t>
      </w:r>
      <w:r>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t>范围内，具体位置详见附图。</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pPr>
      <w:r>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t>实际征收土地范围以最终批准文件为准。</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napToGrid/>
          <w:spacing w:val="0"/>
          <w:kern w:val="2"/>
          <w:sz w:val="32"/>
          <w:szCs w:val="32"/>
          <w:highlight w:val="none"/>
        </w:rPr>
      </w:pPr>
      <w:r>
        <w:rPr>
          <w:rFonts w:hint="eastAsia" w:ascii="黑体" w:hAnsi="黑体" w:eastAsia="黑体" w:cs="黑体"/>
          <w:b w:val="0"/>
          <w:bCs w:val="0"/>
          <w:snapToGrid/>
          <w:spacing w:val="0"/>
          <w:kern w:val="2"/>
          <w:sz w:val="32"/>
          <w:szCs w:val="32"/>
          <w:highlight w:val="none"/>
          <w:lang w:eastAsia="zh-CN"/>
        </w:rPr>
        <w:t>二、</w:t>
      </w:r>
      <w:r>
        <w:rPr>
          <w:rFonts w:hint="eastAsia" w:ascii="黑体" w:hAnsi="黑体" w:eastAsia="黑体" w:cs="黑体"/>
          <w:b w:val="0"/>
          <w:bCs w:val="0"/>
          <w:snapToGrid/>
          <w:spacing w:val="0"/>
          <w:kern w:val="2"/>
          <w:sz w:val="32"/>
          <w:szCs w:val="32"/>
          <w:highlight w:val="none"/>
        </w:rPr>
        <w:t>征收目的</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pPr>
      <w:r>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t>根据《中华人民共和国土地管理法》第四十五条的规定，本次征收土地目的为由政府组织实施的交通基础设施建设需要用地。</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napToGrid/>
          <w:spacing w:val="0"/>
          <w:kern w:val="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t>三、土地现状</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b w:val="0"/>
          <w:bCs/>
          <w:snapToGrid/>
          <w:color w:val="auto"/>
          <w:spacing w:val="0"/>
          <w:kern w:val="2"/>
          <w:sz w:val="32"/>
          <w:szCs w:val="32"/>
          <w:highlight w:val="none"/>
          <w:lang w:eastAsia="zh-CN"/>
        </w:rPr>
        <w:t>根据拟征收土地现状调查结果，拟征收土地现状为：</w:t>
      </w:r>
    </w:p>
    <w:p>
      <w:pPr>
        <w:pageBreakBefore w:val="0"/>
        <w:numPr>
          <w:ilvl w:val="-1"/>
          <w:numId w:val="0"/>
        </w:numPr>
        <w:kinsoku/>
        <w:wordWrap/>
        <w:overflowPunct/>
        <w:topLinePunct w:val="0"/>
        <w:autoSpaceDE/>
        <w:autoSpaceDN/>
        <w:bidi w:val="0"/>
        <w:adjustRightInd/>
        <w:spacing w:line="560" w:lineRule="exact"/>
        <w:ind w:firstLine="0" w:firstLineChars="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（一）拟征收太平镇湖田村村集体所有土地0.0267公顷（0.4005亩）。不涉及现状耕地；建设用地0.0267公顷（0.4005亩）；</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（二）拟征收太平镇木棉村集体所有土地3.6453公顷（54.6795亩）。其中农用地3.6453公顷（54.6795亩），涉及现状耕地0.2282公顷（3.4230亩）；</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（三）拟征收太平镇银林村集体所有土地0.2423公顷（3.6345亩）。其中农用地0.2423公顷（3.6345亩），不涉及现状耕地；</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（四）拟征收太平镇佛岗村集体所有土地0.6555公顷（9.8325亩）。其中农用地0.6555公顷（9.8325亩），不涉及现状耕地。</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t>四、补偿方式和标准</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（一）土地补偿费和安置补助费标准。</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根据广州市人民政府发布的《关于公布实施征收农用地区片综合地价的公告》的规定，土地补偿标准为79.5万元/公顷，安置补助标准为79.5万元/公顷。</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（二）农村村民住宅补偿</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农村村民住宅补偿费用按照从化区有关规定执行。</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（三）青苗及其他地上附着物补偿</w:t>
      </w:r>
    </w:p>
    <w:p>
      <w:pPr>
        <w:pageBreakBefore w:val="0"/>
        <w:numPr>
          <w:ilvl w:val="-1"/>
          <w:numId w:val="0"/>
        </w:numPr>
        <w:kinsoku/>
        <w:wordWrap/>
        <w:overflowPunct/>
        <w:topLinePunct w:val="0"/>
        <w:autoSpaceDE/>
        <w:autoSpaceDN/>
        <w:bidi w:val="0"/>
        <w:adjustRightInd/>
        <w:spacing w:line="560" w:lineRule="exact"/>
        <w:ind w:left="638" w:leftChars="304"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青苗及其他地上附着物补偿按照从化区有关规定执行。</w:t>
      </w:r>
      <w:r>
        <w:rPr>
          <w:rFonts w:hint="eastAsia" w:ascii="黑体" w:hAnsi="黑体" w:eastAsia="黑体" w:cs="黑体"/>
          <w:b w:val="0"/>
          <w:bCs w:val="0"/>
          <w:snapToGrid/>
          <w:spacing w:val="0"/>
          <w:kern w:val="2"/>
          <w:sz w:val="32"/>
          <w:szCs w:val="32"/>
          <w:highlight w:val="none"/>
          <w:lang w:val="en-US" w:eastAsia="zh-CN"/>
        </w:rPr>
        <w:t>五、安置对象</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b w:val="0"/>
          <w:bCs w:val="0"/>
          <w:snapToGrid/>
          <w:spacing w:val="0"/>
          <w:kern w:val="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t>六、安置方式和社会保障</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（一）货币安置。所需费用已包含在土地补偿安置费中。</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留用地安置。根据《广东省人民政府办公厅关于加强征收农村集体土地留用地安置管理工作的意见》（粤府办〔2016〕30号）相关规定，按实际征收土地面积的10%安排留用地0.4570公顷，留用地兑现方式为折算货币补偿。</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我区平均每亩征收农用地区片综合地价9.74万元的18%的比例计提一次性将集体被征地农民养老保障资金存入“收缴被征地农民养老保障资金过渡户”，费用合计120.68万元，专款用于被征地农民缴纳养老保险费用。征地批准文件批复的实际范围有变化的，</w:t>
      </w:r>
      <w:r>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t>费用将做相应调整。</w:t>
      </w:r>
    </w:p>
    <w:p>
      <w:pPr>
        <w:pStyle w:val="2"/>
        <w:rPr>
          <w:rFonts w:hint="eastAsia"/>
          <w:lang w:val="en-US" w:eastAsia="zh-CN"/>
        </w:rPr>
      </w:pPr>
    </w:p>
    <w:p>
      <w:pPr>
        <w:pageBreakBefore w:val="0"/>
        <w:kinsoku/>
        <w:wordWrap/>
        <w:overflowPunct/>
        <w:topLinePunct w:val="0"/>
        <w:autoSpaceDE/>
        <w:autoSpaceDN/>
        <w:bidi w:val="0"/>
        <w:adjustRightInd/>
        <w:spacing w:line="560" w:lineRule="exact"/>
        <w:jc w:val="right"/>
        <w:textAlignment w:val="auto"/>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highlight w:val="none"/>
        </w:rPr>
        <w:t>广州市</w:t>
      </w:r>
      <w:r>
        <w:rPr>
          <w:rFonts w:hint="eastAsia" w:ascii="方正仿宋_GB2312" w:hAnsi="方正仿宋_GB2312" w:eastAsia="方正仿宋_GB2312" w:cs="方正仿宋_GB2312"/>
          <w:sz w:val="32"/>
          <w:szCs w:val="32"/>
          <w:highlight w:val="none"/>
          <w:lang w:val="en-US" w:eastAsia="zh-CN"/>
        </w:rPr>
        <w:t>从化</w:t>
      </w:r>
      <w:r>
        <w:rPr>
          <w:rFonts w:hint="eastAsia" w:ascii="方正仿宋_GB2312" w:hAnsi="方正仿宋_GB2312" w:eastAsia="方正仿宋_GB2312" w:cs="方正仿宋_GB2312"/>
          <w:sz w:val="32"/>
          <w:szCs w:val="32"/>
          <w:highlight w:val="none"/>
        </w:rPr>
        <w:t>区</w:t>
      </w:r>
      <w:r>
        <w:rPr>
          <w:rFonts w:hint="eastAsia" w:ascii="方正仿宋_GB2312" w:hAnsi="方正仿宋_GB2312" w:eastAsia="方正仿宋_GB2312" w:cs="方正仿宋_GB2312"/>
          <w:sz w:val="32"/>
          <w:szCs w:val="32"/>
          <w:highlight w:val="none"/>
          <w:lang w:eastAsia="zh-CN"/>
        </w:rPr>
        <w:t>人民政府</w:t>
      </w:r>
    </w:p>
    <w:p>
      <w:pPr>
        <w:pageBreakBefore w:val="0"/>
        <w:kinsoku/>
        <w:wordWrap/>
        <w:overflowPunct/>
        <w:topLinePunct w:val="0"/>
        <w:autoSpaceDE/>
        <w:autoSpaceDN/>
        <w:bidi w:val="0"/>
        <w:adjustRightInd/>
        <w:spacing w:line="560" w:lineRule="exact"/>
        <w:jc w:val="center"/>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2024</w:t>
      </w:r>
      <w:r>
        <w:rPr>
          <w:rFonts w:hint="eastAsia" w:ascii="方正仿宋_GB2312" w:hAnsi="方正仿宋_GB2312" w:eastAsia="方正仿宋_GB2312" w:cs="方正仿宋_GB2312"/>
          <w:sz w:val="32"/>
          <w:szCs w:val="32"/>
          <w:highlight w:val="none"/>
        </w:rPr>
        <w:t>年</w:t>
      </w:r>
      <w:r>
        <w:rPr>
          <w:rFonts w:hint="eastAsia" w:ascii="方正仿宋_GB2312" w:hAnsi="方正仿宋_GB2312" w:eastAsia="方正仿宋_GB2312" w:cs="方正仿宋_GB2312"/>
          <w:sz w:val="32"/>
          <w:szCs w:val="32"/>
          <w:highlight w:val="none"/>
          <w:lang w:val="en-US" w:eastAsia="zh-CN"/>
        </w:rPr>
        <w:t>11</w:t>
      </w:r>
      <w:r>
        <w:rPr>
          <w:rFonts w:hint="eastAsia" w:ascii="方正仿宋_GB2312" w:hAnsi="方正仿宋_GB2312" w:eastAsia="方正仿宋_GB2312" w:cs="方正仿宋_GB2312"/>
          <w:sz w:val="32"/>
          <w:szCs w:val="32"/>
          <w:highlight w:val="none"/>
        </w:rPr>
        <w:t>月</w:t>
      </w:r>
      <w:r>
        <w:rPr>
          <w:rFonts w:hint="eastAsia" w:ascii="方正仿宋_GB2312" w:hAnsi="方正仿宋_GB2312" w:eastAsia="方正仿宋_GB2312" w:cs="方正仿宋_GB2312"/>
          <w:sz w:val="32"/>
          <w:szCs w:val="32"/>
          <w:highlight w:val="none"/>
          <w:lang w:val="en-US" w:eastAsia="zh-CN"/>
        </w:rPr>
        <w:t>10</w:t>
      </w:r>
      <w:bookmarkStart w:id="0" w:name="_GoBack"/>
      <w:bookmarkEnd w:id="0"/>
      <w:r>
        <w:rPr>
          <w:rFonts w:hint="eastAsia" w:ascii="方正仿宋_GB2312" w:hAnsi="方正仿宋_GB2312" w:eastAsia="方正仿宋_GB2312" w:cs="方正仿宋_GB2312"/>
          <w:sz w:val="32"/>
          <w:szCs w:val="32"/>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YTg1ZThlYjQ0MmQ0NzdhZTMyYTVlZjc5OTE0MjQifQ=="/>
  </w:docVars>
  <w:rsids>
    <w:rsidRoot w:val="37223F4D"/>
    <w:rsid w:val="13F80068"/>
    <w:rsid w:val="162A406A"/>
    <w:rsid w:val="1AB42E0B"/>
    <w:rsid w:val="21DE5615"/>
    <w:rsid w:val="234B013E"/>
    <w:rsid w:val="2A402E1E"/>
    <w:rsid w:val="2AF1664D"/>
    <w:rsid w:val="37223F4D"/>
    <w:rsid w:val="395D665B"/>
    <w:rsid w:val="5A4C38F2"/>
    <w:rsid w:val="6298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1595</Words>
  <Characters>1728</Characters>
  <Lines>0</Lines>
  <Paragraphs>0</Paragraphs>
  <TotalTime>205</TotalTime>
  <ScaleCrop>false</ScaleCrop>
  <LinksUpToDate>false</LinksUpToDate>
  <CharactersWithSpaces>1765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2024-04-28T01:08:00Z</dcterms:created>
  <dc:creator>KingStorm</dc:creator>
  <cp:lastModifiedBy>陈景辉</cp:lastModifiedBy>
  <dcterms:modified xsi:type="dcterms:W3CDTF">2024-12-02T08:26:35Z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A7850754DC6842EEB8F63CCDA0BA935B_13</vt:lpwstr>
  </property>
</Properties>
</file>