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left"/>
        <w:textAlignment w:val="auto"/>
        <w:rPr>
          <w:rFonts w:ascii="Times New Roman" w:hAnsi="Times New Roman" w:eastAsia="方正小标宋_GBK" w:cs="Times New Roman"/>
          <w:bCs/>
          <w:color w:val="000000"/>
          <w:sz w:val="44"/>
          <w:szCs w:val="44"/>
          <w:highlight w:val="none"/>
        </w:rPr>
      </w:pPr>
      <w:r>
        <w:rPr>
          <w:rFonts w:ascii="Times New Roman" w:hAnsi="Times New Roman" w:eastAsia="黑体" w:cs="Times New Roman"/>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为实施广州市</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w:t>
      </w:r>
      <w:r>
        <w:rPr>
          <w:rFonts w:hint="eastAsia" w:ascii="Times New Roman" w:hAnsi="Times New Roman" w:eastAsia="仿宋_GB2312"/>
          <w:sz w:val="32"/>
          <w:szCs w:val="32"/>
          <w:highlight w:val="none"/>
          <w:lang w:val="en-US" w:eastAsia="zh-CN"/>
        </w:rPr>
        <w:t>黄村街</w:t>
      </w:r>
      <w:r>
        <w:rPr>
          <w:rFonts w:ascii="Times New Roman" w:hAnsi="Times New Roman" w:eastAsia="仿宋_GB2312"/>
          <w:sz w:val="32"/>
          <w:szCs w:val="32"/>
          <w:highlight w:val="none"/>
        </w:rPr>
        <w:t>建设规划，完善城市功能，改善城市环境，促进经济、文化发展，广州市</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区人民政府拟征收该区</w:t>
      </w:r>
      <w:r>
        <w:rPr>
          <w:rFonts w:hint="eastAsia" w:ascii="Times New Roman" w:hAnsi="Times New Roman" w:eastAsia="仿宋_GB2312" w:cs="仿宋_GB2312"/>
          <w:sz w:val="32"/>
          <w:szCs w:val="32"/>
          <w:highlight w:val="none"/>
          <w:u w:val="none"/>
          <w:lang w:val="en-US" w:eastAsia="zh-CN" w:bidi="ar"/>
        </w:rPr>
        <w:t>黄村街黄村</w:t>
      </w:r>
      <w:r>
        <w:rPr>
          <w:rFonts w:hint="eastAsia" w:ascii="Times New Roman" w:hAnsi="Times New Roman" w:eastAsia="仿宋_GB2312" w:cs="仿宋_GB2312"/>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eastAsia" w:ascii="Times New Roman" w:hAnsi="Times New Roman" w:eastAsia="仿宋_GB2312" w:cs="仿宋_GB2312"/>
          <w:sz w:val="32"/>
          <w:szCs w:val="32"/>
          <w:highlight w:val="none"/>
          <w:u w:val="none"/>
          <w:lang w:val="en-US" w:eastAsia="zh-CN" w:bidi="ar"/>
        </w:rPr>
        <w:t>3.3954</w:t>
      </w:r>
      <w:r>
        <w:rPr>
          <w:rFonts w:hint="default" w:ascii="Times New Roman" w:hAnsi="Times New Roman" w:eastAsia="仿宋_GB2312" w:cs="Times New Roman"/>
          <w:color w:val="000000"/>
          <w:spacing w:val="0"/>
          <w:w w:val="100"/>
          <w:position w:val="0"/>
          <w:sz w:val="32"/>
          <w:szCs w:val="32"/>
          <w:highlight w:val="none"/>
        </w:rPr>
        <w:t>公顷</w:t>
      </w:r>
      <w:r>
        <w:rPr>
          <w:rFonts w:ascii="Times New Roman" w:hAnsi="Times New Roman" w:eastAsia="仿宋_GB2312"/>
          <w:sz w:val="32"/>
          <w:szCs w:val="32"/>
          <w:highlight w:val="none"/>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eastAsia" w:ascii="Times New Roman" w:hAnsi="Times New Roman" w:eastAsia="仿宋_GB2312" w:cs="仿宋_GB2312"/>
          <w:sz w:val="32"/>
          <w:szCs w:val="32"/>
          <w:highlight w:val="none"/>
          <w:u w:val="none"/>
          <w:lang w:bidi="ar"/>
        </w:rPr>
        <w:t>广州市</w:t>
      </w:r>
      <w:r>
        <w:rPr>
          <w:rFonts w:hint="eastAsia" w:ascii="Times New Roman" w:hAnsi="Times New Roman" w:eastAsia="仿宋_GB2312" w:cs="仿宋_GB2312"/>
          <w:sz w:val="32"/>
          <w:szCs w:val="32"/>
          <w:highlight w:val="none"/>
          <w:u w:val="none"/>
          <w:lang w:val="en-US" w:eastAsia="zh-CN" w:bidi="ar"/>
        </w:rPr>
        <w:t>天河区黄村街黄村</w:t>
      </w:r>
      <w:r>
        <w:rPr>
          <w:rFonts w:hint="eastAsia" w:ascii="Times New Roman" w:hAnsi="Times New Roman" w:eastAsia="仿宋_GB2312" w:cs="仿宋_GB2312"/>
          <w:sz w:val="32"/>
          <w:szCs w:val="32"/>
          <w:highlight w:val="none"/>
          <w:u w:val="none"/>
          <w:lang w:bidi="ar"/>
        </w:rPr>
        <w:t>股份合作经济联社</w:t>
      </w:r>
      <w:r>
        <w:rPr>
          <w:rFonts w:hint="eastAsia" w:ascii="Times New Roman" w:hAnsi="Times New Roman" w:eastAsia="仿宋_GB2312" w:cs="仿宋_GB2312"/>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eastAsia" w:ascii="Times New Roman" w:hAnsi="Times New Roman" w:eastAsia="仿宋_GB2312"/>
          <w:sz w:val="32"/>
          <w:szCs w:val="32"/>
          <w:highlight w:val="none"/>
        </w:rPr>
        <w:t>政府组织</w:t>
      </w:r>
      <w:r>
        <w:rPr>
          <w:rFonts w:hint="eastAsia" w:ascii="Times New Roman" w:hAnsi="Times New Roman" w:eastAsia="仿宋_GB2312"/>
          <w:sz w:val="32"/>
          <w:szCs w:val="32"/>
          <w:highlight w:val="none"/>
          <w:lang w:val="en-US" w:eastAsia="zh-CN"/>
        </w:rPr>
        <w:t>成片开发建设</w:t>
      </w:r>
      <w:r>
        <w:rPr>
          <w:rFonts w:hint="eastAsia" w:ascii="Times New Roman" w:hAnsi="Times New Roman" w:eastAsia="仿宋_GB2312"/>
          <w:sz w:val="32"/>
          <w:szCs w:val="32"/>
          <w:highlight w:val="none"/>
        </w:rPr>
        <w:t>需要</w:t>
      </w:r>
      <w:r>
        <w:rPr>
          <w:rFonts w:hint="eastAsia" w:ascii="Times New Roman" w:hAnsi="Times New Roman" w:eastAsia="仿宋_GB2312"/>
          <w:sz w:val="32"/>
          <w:szCs w:val="32"/>
          <w:highlight w:val="none"/>
          <w:lang w:val="en-US" w:eastAsia="zh-CN"/>
        </w:rPr>
        <w:t>用地</w:t>
      </w:r>
      <w:r>
        <w:rPr>
          <w:rFonts w:hint="eastAsia" w:ascii="Times New Roman" w:hAnsi="Times New Roman" w:eastAsia="仿宋_GB2312"/>
          <w:sz w:val="32"/>
          <w:szCs w:val="32"/>
          <w:highlight w:val="none"/>
        </w:rPr>
        <w:t>，规划用途为</w:t>
      </w:r>
      <w:r>
        <w:rPr>
          <w:rFonts w:hint="eastAsia" w:ascii="Times New Roman" w:hAnsi="Times New Roman" w:eastAsia="仿宋_GB2312"/>
          <w:sz w:val="32"/>
          <w:szCs w:val="32"/>
          <w:highlight w:val="none"/>
          <w:lang w:val="en-US" w:eastAsia="zh-CN"/>
        </w:rPr>
        <w:t>居住用地、商服用地</w:t>
      </w:r>
      <w:r>
        <w:rPr>
          <w:rFonts w:hint="eastAsia" w:ascii="Times New Roman" w:hAnsi="Times New Roman" w:eastAsia="仿宋_GB2312"/>
          <w:sz w:val="32"/>
          <w:szCs w:val="32"/>
          <w:highlight w:val="none"/>
        </w:rPr>
        <w:t>，用地报批组卷批次号为广州市天河区</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年度第</w:t>
      </w:r>
      <w:r>
        <w:rPr>
          <w:rFonts w:hint="eastAsia" w:ascii="Times New Roman" w:hAnsi="Times New Roman" w:eastAsia="仿宋_GB2312"/>
          <w:sz w:val="32"/>
          <w:szCs w:val="32"/>
          <w:highlight w:val="none"/>
          <w:lang w:val="en-US" w:eastAsia="zh-CN"/>
        </w:rPr>
        <w:t>二</w:t>
      </w:r>
      <w:r>
        <w:rPr>
          <w:rFonts w:hint="eastAsia" w:ascii="Times New Roman" w:hAnsi="Times New Roman" w:eastAsia="仿宋_GB2312"/>
          <w:sz w:val="32"/>
          <w:szCs w:val="32"/>
          <w:highlight w:val="none"/>
          <w:lang w:eastAsia="zh-CN"/>
        </w:rPr>
        <w:t>批次</w:t>
      </w:r>
      <w:r>
        <w:rPr>
          <w:rFonts w:hint="eastAsia" w:ascii="Times New Roman" w:hAnsi="Times New Roman" w:eastAsia="仿宋_GB2312"/>
          <w:sz w:val="32"/>
          <w:szCs w:val="32"/>
          <w:highlight w:val="none"/>
          <w:lang w:val="en-US" w:eastAsia="zh-CN"/>
        </w:rPr>
        <w:t>城镇</w:t>
      </w:r>
      <w:r>
        <w:rPr>
          <w:rFonts w:hint="eastAsia" w:ascii="Times New Roman" w:hAnsi="Times New Roman" w:eastAsia="仿宋_GB2312"/>
          <w:sz w:val="32"/>
          <w:szCs w:val="32"/>
          <w:highlight w:val="none"/>
          <w:lang w:eastAsia="zh-CN"/>
        </w:rPr>
        <w:t>建设用地</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三、土地现状</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根据拟征收土地现状调查结果，</w:t>
      </w:r>
      <w:r>
        <w:rPr>
          <w:rFonts w:hint="eastAsia" w:ascii="Times New Roman" w:hAnsi="Times New Roman" w:eastAsia="仿宋_GB2312"/>
          <w:sz w:val="32"/>
          <w:szCs w:val="32"/>
          <w:highlight w:val="none"/>
          <w:lang w:eastAsia="zh-CN"/>
        </w:rPr>
        <w:t>拟征收土地现状为：</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eastAsia="zh-CN"/>
        </w:rPr>
      </w:pPr>
      <w:r>
        <w:rPr>
          <w:rFonts w:ascii="Times New Roman" w:hAnsi="Times New Roman" w:eastAsia="仿宋_GB2312"/>
          <w:sz w:val="32"/>
          <w:szCs w:val="32"/>
          <w:highlight w:val="none"/>
        </w:rPr>
        <w:t>拟征收</w:t>
      </w:r>
      <w:r>
        <w:rPr>
          <w:rFonts w:hint="default" w:ascii="Times New Roman" w:hAnsi="Times New Roman" w:eastAsia="仿宋_GB2312" w:cs="Times New Roman"/>
          <w:color w:val="000000"/>
          <w:spacing w:val="0"/>
          <w:w w:val="100"/>
          <w:position w:val="0"/>
          <w:sz w:val="32"/>
          <w:szCs w:val="32"/>
          <w:highlight w:val="none"/>
          <w:lang w:val="en-US" w:eastAsia="zh-CN"/>
        </w:rPr>
        <w:t>广州市天河区</w:t>
      </w:r>
      <w:r>
        <w:rPr>
          <w:rFonts w:hint="eastAsia" w:ascii="Times New Roman" w:hAnsi="Times New Roman" w:eastAsia="仿宋_GB2312" w:cs="仿宋_GB2312"/>
          <w:sz w:val="32"/>
          <w:szCs w:val="32"/>
          <w:highlight w:val="none"/>
          <w:u w:val="none"/>
          <w:lang w:val="en-US" w:eastAsia="zh-CN" w:bidi="ar"/>
        </w:rPr>
        <w:t>黄村街黄村</w:t>
      </w:r>
      <w:r>
        <w:rPr>
          <w:rFonts w:hint="eastAsia" w:ascii="Times New Roman" w:hAnsi="Times New Roman" w:eastAsia="仿宋_GB2312" w:cs="仿宋_GB2312"/>
          <w:sz w:val="32"/>
          <w:szCs w:val="32"/>
          <w:highlight w:val="none"/>
          <w:u w:val="none"/>
          <w:lang w:bidi="ar"/>
        </w:rPr>
        <w:t>股份合作经济联社</w:t>
      </w:r>
      <w:r>
        <w:rPr>
          <w:rFonts w:hint="default" w:ascii="Times New Roman" w:hAnsi="Times New Roman" w:eastAsia="仿宋_GB2312" w:cs="Times New Roman"/>
          <w:color w:val="000000"/>
          <w:spacing w:val="0"/>
          <w:w w:val="100"/>
          <w:position w:val="0"/>
          <w:sz w:val="32"/>
          <w:szCs w:val="32"/>
          <w:highlight w:val="none"/>
        </w:rPr>
        <w:t>集体</w:t>
      </w:r>
      <w:r>
        <w:rPr>
          <w:rFonts w:hint="eastAsia" w:ascii="Times New Roman" w:hAnsi="Times New Roman" w:eastAsia="仿宋_GB2312" w:cs="Times New Roman"/>
          <w:color w:val="000000"/>
          <w:spacing w:val="0"/>
          <w:w w:val="100"/>
          <w:position w:val="0"/>
          <w:sz w:val="32"/>
          <w:szCs w:val="32"/>
          <w:highlight w:val="none"/>
          <w:lang w:val="en-US" w:eastAsia="zh-CN"/>
        </w:rPr>
        <w:t>所有</w:t>
      </w:r>
      <w:r>
        <w:rPr>
          <w:rFonts w:hint="default" w:ascii="Times New Roman" w:hAnsi="Times New Roman" w:eastAsia="仿宋_GB2312" w:cs="Times New Roman"/>
          <w:color w:val="000000"/>
          <w:spacing w:val="0"/>
          <w:w w:val="100"/>
          <w:position w:val="0"/>
          <w:sz w:val="32"/>
          <w:szCs w:val="32"/>
          <w:highlight w:val="none"/>
        </w:rPr>
        <w:t>土地</w:t>
      </w:r>
      <w:r>
        <w:rPr>
          <w:rFonts w:hint="eastAsia" w:ascii="Times New Roman" w:hAnsi="Times New Roman" w:eastAsia="仿宋_GB2312" w:cs="仿宋_GB2312"/>
          <w:sz w:val="32"/>
          <w:szCs w:val="32"/>
          <w:highlight w:val="none"/>
          <w:u w:val="none"/>
          <w:lang w:val="en-US" w:eastAsia="zh-CN" w:bidi="ar"/>
        </w:rPr>
        <w:t>3.3954</w:t>
      </w:r>
      <w:r>
        <w:rPr>
          <w:rFonts w:hint="default" w:ascii="Times New Roman" w:hAnsi="Times New Roman" w:eastAsia="仿宋_GB2312" w:cs="Times New Roman"/>
          <w:color w:val="000000"/>
          <w:spacing w:val="0"/>
          <w:w w:val="100"/>
          <w:position w:val="0"/>
          <w:sz w:val="32"/>
          <w:szCs w:val="32"/>
          <w:highlight w:val="none"/>
        </w:rPr>
        <w:t>公顷</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50.9310亩</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均为建设用地</w:t>
      </w:r>
      <w:r>
        <w:rPr>
          <w:rFonts w:hint="eastAsia" w:ascii="Times New Roman" w:hAnsi="Times New Roman" w:eastAsia="仿宋_GB2312" w:cs="Times New Roman"/>
          <w:color w:val="000000"/>
          <w:spacing w:val="0"/>
          <w:w w:val="100"/>
          <w:position w:val="0"/>
          <w:sz w:val="32"/>
          <w:szCs w:val="32"/>
          <w:highlight w:val="none"/>
          <w:lang w:eastAsia="zh-CN"/>
        </w:rPr>
        <w:t>。</w:t>
      </w:r>
    </w:p>
    <w:p>
      <w:pPr>
        <w:spacing w:line="560" w:lineRule="atLeast"/>
        <w:ind w:left="0" w:firstLine="643" w:firstLineChars="200"/>
        <w:rPr>
          <w:rFonts w:hint="eastAsia" w:ascii="Times New Roman" w:hAnsi="Times New Roman" w:eastAsia="仿宋_GB2312"/>
          <w:b/>
          <w:sz w:val="32"/>
          <w:szCs w:val="32"/>
          <w:highlight w:val="none"/>
          <w:lang w:eastAsia="zh-CN"/>
        </w:rPr>
      </w:pPr>
      <w:r>
        <w:rPr>
          <w:rFonts w:ascii="Times New Roman" w:hAnsi="Times New Roman" w:eastAsia="仿宋_GB2312"/>
          <w:b/>
          <w:sz w:val="32"/>
          <w:szCs w:val="32"/>
          <w:highlight w:val="none"/>
        </w:rPr>
        <w:t>四、补偿方式和标准</w:t>
      </w:r>
    </w:p>
    <w:p>
      <w:pPr>
        <w:spacing w:line="560" w:lineRule="atLeast"/>
        <w:ind w:left="0"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楷体"/>
          <w:sz w:val="32"/>
          <w:szCs w:val="32"/>
          <w:highlight w:val="none"/>
          <w:lang w:eastAsia="zh-CN"/>
        </w:rPr>
        <w:t>（</w:t>
      </w:r>
      <w:r>
        <w:rPr>
          <w:rFonts w:hint="eastAsia" w:ascii="Times New Roman" w:hAnsi="Times New Roman" w:eastAsia="楷体"/>
          <w:sz w:val="32"/>
          <w:szCs w:val="32"/>
          <w:highlight w:val="none"/>
          <w:lang w:val="en-US" w:eastAsia="zh-CN"/>
        </w:rPr>
        <w:t>一</w:t>
      </w:r>
      <w:r>
        <w:rPr>
          <w:rFonts w:hint="eastAsia"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atLeas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0"/>
          <w:numId w:val="0"/>
        </w:numPr>
        <w:spacing w:line="560" w:lineRule="atLeast"/>
        <w:ind w:left="0" w:firstLine="640" w:firstLineChars="200"/>
        <w:rPr>
          <w:rFonts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40" w:lineRule="exact"/>
        <w:ind w:left="0" w:firstLine="640" w:firstLineChars="200"/>
        <w:rPr>
          <w:rFonts w:hint="eastAsia" w:ascii="Times New Roman" w:hAnsi="Times New Roman" w:eastAsia="仿宋_GB2312"/>
          <w:color w:val="auto"/>
          <w:sz w:val="32"/>
          <w:szCs w:val="32"/>
          <w:highlight w:val="none"/>
          <w:u w:val="none"/>
          <w:shd w:val="clear" w:color="auto" w:fill="auto"/>
          <w:lang w:bidi="zh-TW"/>
        </w:rPr>
      </w:pPr>
      <w:r>
        <w:rPr>
          <w:rFonts w:hint="eastAsia" w:ascii="Times New Roman" w:hAnsi="Times New Roman" w:eastAsia="仿宋_GB2312"/>
          <w:color w:val="auto"/>
          <w:sz w:val="32"/>
          <w:szCs w:val="32"/>
          <w:highlight w:val="none"/>
          <w:u w:val="none"/>
          <w:shd w:val="clear" w:color="auto" w:fill="auto"/>
          <w:lang w:val="en-US" w:eastAsia="zh-CN" w:bidi="zh-TW"/>
        </w:rPr>
        <w:t>征地范围内的农村村民住宅</w:t>
      </w:r>
      <w:r>
        <w:rPr>
          <w:rFonts w:hint="eastAsia" w:ascii="Times New Roman" w:hAnsi="Times New Roman" w:eastAsia="仿宋_GB2312" w:cs="Times New Roman"/>
          <w:color w:val="auto"/>
          <w:spacing w:val="0"/>
          <w:w w:val="100"/>
          <w:position w:val="0"/>
          <w:sz w:val="32"/>
          <w:szCs w:val="32"/>
          <w:highlight w:val="none"/>
          <w:lang w:val="en-US" w:eastAsia="zh-CN"/>
        </w:rPr>
        <w:t>补偿费按天河区政府有关规定进行补偿</w:t>
      </w:r>
      <w:r>
        <w:rPr>
          <w:rFonts w:hint="eastAsia" w:ascii="Times New Roman" w:hAnsi="Times New Roman" w:eastAsia="仿宋_GB2312"/>
          <w:color w:val="auto"/>
          <w:sz w:val="32"/>
          <w:szCs w:val="32"/>
          <w:highlight w:val="none"/>
          <w:u w:val="none"/>
          <w:shd w:val="clear" w:color="auto" w:fill="auto"/>
          <w:lang w:bidi="zh-TW"/>
        </w:rPr>
        <w:t>。</w:t>
      </w:r>
    </w:p>
    <w:p>
      <w:pPr>
        <w:spacing w:line="560" w:lineRule="atLeast"/>
        <w:ind w:left="0" w:firstLine="640" w:firstLineChars="200"/>
        <w:rPr>
          <w:rFonts w:hint="eastAsia" w:ascii="Times New Roman" w:hAnsi="Times New Roman" w:eastAsia="楷体"/>
          <w:sz w:val="32"/>
          <w:szCs w:val="32"/>
          <w:highlight w:val="none"/>
          <w:lang w:val="en-US" w:eastAsia="zh-CN"/>
        </w:rPr>
      </w:pPr>
      <w:r>
        <w:rPr>
          <w:rFonts w:hint="eastAsia" w:ascii="Times New Roman" w:hAnsi="Times New Roman" w:eastAsia="楷体"/>
          <w:sz w:val="32"/>
          <w:szCs w:val="32"/>
          <w:highlight w:val="none"/>
          <w:lang w:eastAsia="zh-CN"/>
        </w:rPr>
        <w:t>（</w:t>
      </w:r>
      <w:r>
        <w:rPr>
          <w:rFonts w:hint="eastAsia" w:ascii="Times New Roman" w:hAnsi="Times New Roman" w:eastAsia="楷体"/>
          <w:sz w:val="32"/>
          <w:szCs w:val="32"/>
          <w:highlight w:val="none"/>
          <w:lang w:val="en-US" w:eastAsia="zh-CN"/>
        </w:rPr>
        <w:t>三</w:t>
      </w:r>
      <w:r>
        <w:rPr>
          <w:rFonts w:hint="eastAsia"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eastAsia" w:ascii="Times New Roman" w:hAnsi="Times New Roman" w:eastAsia="仿宋_GB2312"/>
          <w:color w:val="000000"/>
          <w:sz w:val="32"/>
          <w:szCs w:val="32"/>
          <w:highlight w:val="none"/>
          <w:u w:val="none"/>
          <w:shd w:val="clear" w:color="auto" w:fill="auto"/>
          <w:lang w:bidi="zh-TW"/>
        </w:rPr>
        <w:t>。</w:t>
      </w:r>
    </w:p>
    <w:p>
      <w:pPr>
        <w:spacing w:line="560" w:lineRule="atLeast"/>
        <w:ind w:left="0" w:firstLine="640" w:firstLineChars="200"/>
        <w:rPr>
          <w:rFonts w:ascii="Times New Roman" w:hAnsi="Times New Roman" w:eastAsia="仿宋_GB2312"/>
          <w:b/>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val="en-US" w:eastAsia="zh-CN"/>
        </w:rPr>
        <w:t>征地范围内的青苗补偿费和附着物补偿费按天河区政府有关规定进行补偿。</w:t>
      </w:r>
    </w:p>
    <w:p>
      <w:pPr>
        <w:spacing w:line="560" w:lineRule="atLeast"/>
        <w:ind w:left="0" w:firstLine="643" w:firstLineChars="200"/>
        <w:rPr>
          <w:rFonts w:hint="eastAsia" w:ascii="Times New Roman" w:hAnsi="Times New Roman" w:eastAsia="仿宋_GB2312"/>
          <w:b/>
          <w:sz w:val="32"/>
          <w:szCs w:val="32"/>
          <w:highlight w:val="none"/>
          <w:lang w:eastAsia="zh-CN"/>
        </w:rPr>
      </w:pPr>
      <w:r>
        <w:rPr>
          <w:rFonts w:ascii="Times New Roman" w:hAnsi="Times New Roman" w:eastAsia="仿宋_GB2312"/>
          <w:b/>
          <w:sz w:val="32"/>
          <w:szCs w:val="32"/>
          <w:highlight w:val="none"/>
        </w:rPr>
        <w:t>五、安置对象</w:t>
      </w:r>
    </w:p>
    <w:p>
      <w:pPr>
        <w:spacing w:line="560" w:lineRule="atLeast"/>
        <w:ind w:left="0"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atLeast"/>
        <w:ind w:left="0" w:firstLine="643" w:firstLineChars="200"/>
        <w:rPr>
          <w:rFonts w:hint="eastAsia" w:ascii="Times New Roman" w:hAnsi="Times New Roman" w:eastAsia="仿宋_GB2312"/>
          <w:b/>
          <w:sz w:val="32"/>
          <w:szCs w:val="32"/>
          <w:highlight w:val="none"/>
          <w:lang w:eastAsia="zh-CN"/>
        </w:rPr>
      </w:pPr>
      <w:r>
        <w:rPr>
          <w:rFonts w:ascii="Times New Roman" w:hAnsi="Times New Roman" w:eastAsia="仿宋_GB2312"/>
          <w:b/>
          <w:sz w:val="32"/>
          <w:szCs w:val="32"/>
          <w:highlight w:val="none"/>
        </w:rPr>
        <w:t>六、安置方式和社会保障</w:t>
      </w:r>
    </w:p>
    <w:p>
      <w:pPr>
        <w:spacing w:line="560" w:lineRule="atLeas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sz w:val="32"/>
          <w:szCs w:val="32"/>
          <w:highlight w:val="none"/>
        </w:rPr>
        <w:t>所需费用已包含在土地补偿安置费中。</w:t>
      </w:r>
    </w:p>
    <w:p>
      <w:pPr>
        <w:pStyle w:val="5"/>
        <w:keepNext w:val="0"/>
        <w:keepLines w:val="0"/>
        <w:widowControl w:val="0"/>
        <w:shd w:val="clear" w:color="auto" w:fill="auto"/>
        <w:bidi w:val="0"/>
        <w:spacing w:before="0" w:after="0" w:line="560" w:lineRule="atLeas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lang w:val="en-US" w:eastAsia="zh-CN" w:bidi="ar-SA"/>
        </w:rPr>
        <w:t>（二）</w:t>
      </w:r>
      <w:r>
        <w:rPr>
          <w:rFonts w:ascii="Times New Roman" w:hAnsi="Times New Roman" w:eastAsia="楷体" w:cs="Times New Roman"/>
          <w:sz w:val="32"/>
          <w:szCs w:val="32"/>
          <w:highlight w:val="none"/>
          <w:lang w:val="en-US" w:eastAsia="zh-CN" w:bidi="ar-SA"/>
        </w:rPr>
        <w:t>留用地安置。</w:t>
      </w:r>
      <w:r>
        <w:rPr>
          <w:rFonts w:hint="eastAsia" w:ascii="Times New Roman" w:hAnsi="Times New Roman" w:eastAsia="仿宋_GB2312" w:cs="Times New Roman"/>
          <w:color w:val="000000"/>
          <w:sz w:val="32"/>
          <w:szCs w:val="32"/>
          <w:highlight w:val="none"/>
          <w:lang w:val="en-US" w:eastAsia="zh-CN" w:bidi="ar-SA"/>
        </w:rPr>
        <w:t>本项目给被征地村集体安排复建安置区，不再安排留用地。</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pPr>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sz w:val="32"/>
          <w:szCs w:val="32"/>
          <w:highlight w:val="none"/>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highlight w:val="none"/>
          <w:lang w:val="en-US" w:eastAsia="zh-CN"/>
        </w:rPr>
        <w:t>5.5万元/亩</w:t>
      </w:r>
      <w:r>
        <w:rPr>
          <w:rFonts w:ascii="Times New Roman" w:hAnsi="Times New Roman" w:eastAsia="仿宋_GB2312"/>
          <w:sz w:val="32"/>
          <w:szCs w:val="32"/>
          <w:highlight w:val="none"/>
        </w:rPr>
        <w:t>标准一次性</w:t>
      </w:r>
      <w:r>
        <w:rPr>
          <w:rFonts w:hint="eastAsia" w:ascii="Times New Roman" w:hAnsi="Times New Roman" w:eastAsia="仿宋_GB2312"/>
          <w:sz w:val="32"/>
          <w:szCs w:val="32"/>
          <w:highlight w:val="none"/>
          <w:lang w:eastAsia="zh-CN"/>
        </w:rPr>
        <w:t>将</w:t>
      </w:r>
      <w:r>
        <w:rPr>
          <w:rFonts w:ascii="Times New Roman" w:hAnsi="Times New Roman" w:eastAsia="仿宋_GB2312"/>
          <w:sz w:val="32"/>
          <w:szCs w:val="32"/>
          <w:highlight w:val="none"/>
        </w:rPr>
        <w:t>被征地农民养老保障资金存入</w:t>
      </w:r>
      <w:r>
        <w:rPr>
          <w:rFonts w:hint="default" w:ascii="Times New Roman" w:hAnsi="Times New Roman" w:eastAsia="仿宋_GB2312" w:cs="Times New Roman"/>
          <w:sz w:val="32"/>
          <w:szCs w:val="32"/>
          <w:highlight w:val="none"/>
          <w:lang w:eastAsia="zh-CN"/>
        </w:rPr>
        <w:t>天河</w:t>
      </w:r>
      <w:r>
        <w:rPr>
          <w:rFonts w:hint="default" w:ascii="Times New Roman" w:hAnsi="Times New Roman" w:eastAsia="仿宋_GB2312" w:cs="Times New Roman"/>
          <w:sz w:val="32"/>
          <w:szCs w:val="32"/>
          <w:highlight w:val="none"/>
        </w:rPr>
        <w:t>区人力资源社会保障</w:t>
      </w:r>
      <w:r>
        <w:rPr>
          <w:rFonts w:hint="default"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开设的</w:t>
      </w:r>
      <w:r>
        <w:rPr>
          <w:rFonts w:ascii="Times New Roman" w:hAnsi="Times New Roman" w:eastAsia="仿宋_GB2312"/>
          <w:sz w:val="32"/>
          <w:szCs w:val="32"/>
          <w:highlight w:val="none"/>
        </w:rPr>
        <w:t>“收缴被征地农民养老保障资金过渡户”，费用合计</w:t>
      </w:r>
      <w:r>
        <w:rPr>
          <w:rFonts w:hint="eastAsia" w:ascii="Times New Roman" w:hAnsi="Times New Roman" w:eastAsia="仿宋_GB2312" w:cs="Times New Roman"/>
          <w:sz w:val="32"/>
          <w:szCs w:val="32"/>
          <w:highlight w:val="none"/>
          <w:lang w:val="en-US" w:eastAsia="zh-CN"/>
        </w:rPr>
        <w:t>280.13</w:t>
      </w:r>
      <w:r>
        <w:rPr>
          <w:rFonts w:ascii="Times New Roman" w:hAnsi="Times New Roman" w:eastAsia="仿宋_GB2312"/>
          <w:sz w:val="32"/>
          <w:szCs w:val="32"/>
          <w:highlight w:val="none"/>
        </w:rPr>
        <w:t>万元，专款用于被征地农民缴纳养老保险费用。征地批准文件批复的实际范围有变化的，费用将做相应调整。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B5103"/>
    <w:rsid w:val="508B0AD3"/>
    <w:rsid w:val="7B4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2024-10-30T02:30:00Z</dcterms:created>
  <dc:creator>lipeilin</dc:creator>
  <cp:lastModifiedBy>黄君仪</cp:lastModifiedBy>
  <dcterms:modified xsi:type="dcterms:W3CDTF">2024-12-04T01:36:37Z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