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宋体"/>
          <w:bCs/>
          <w:color w:val="auto"/>
          <w:kern w:val="2"/>
          <w:sz w:val="44"/>
          <w:szCs w:val="44"/>
          <w:lang w:val="en-US"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kern w:val="2"/>
          <w:sz w:val="44"/>
          <w:szCs w:val="44"/>
          <w:lang w:eastAsia="zh-CN"/>
        </w:rPr>
        <w:t>广州市南沙区</w:t>
      </w:r>
      <w:r>
        <w:rPr>
          <w:rFonts w:hint="eastAsia" w:ascii="方正小标宋简体" w:hAnsi="仿宋" w:eastAsia="方正小标宋简体" w:cs="宋体"/>
          <w:bCs/>
          <w:color w:val="auto"/>
          <w:kern w:val="2"/>
          <w:sz w:val="44"/>
          <w:szCs w:val="44"/>
          <w:lang w:val="en-US" w:eastAsia="zh-CN"/>
        </w:rPr>
        <w:t>2023年度第五十四批次</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仿宋" w:eastAsia="方正小标宋简体" w:cs="宋体"/>
          <w:bCs/>
          <w:color w:val="auto"/>
          <w:kern w:val="2"/>
          <w:sz w:val="44"/>
          <w:szCs w:val="44"/>
          <w:lang w:val="en-US" w:eastAsia="zh-CN"/>
        </w:rPr>
        <w:t>城镇建设用地</w:t>
      </w:r>
      <w:r>
        <w:rPr>
          <w:rFonts w:hint="eastAsia" w:ascii="方正小标宋简体" w:hAnsi="仿宋" w:eastAsia="方正小标宋简体" w:cs="宋体"/>
          <w:bCs/>
          <w:color w:val="auto"/>
          <w:sz w:val="44"/>
          <w:szCs w:val="44"/>
        </w:rPr>
        <w:t>项目</w:t>
      </w:r>
      <w:r>
        <w:rPr>
          <w:rFonts w:hint="eastAsia" w:ascii="方正小标宋简体" w:hAnsi="方正小标宋简体" w:eastAsia="方正小标宋简体" w:cs="方正小标宋简体"/>
          <w:bCs/>
          <w:color w:val="auto"/>
          <w:sz w:val="44"/>
          <w:szCs w:val="44"/>
        </w:rPr>
        <w:t>被征地农民</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养老保障方案</w:t>
      </w:r>
    </w:p>
    <w:p>
      <w:pPr>
        <w:spacing w:line="560" w:lineRule="exact"/>
        <w:jc w:val="center"/>
        <w:rPr>
          <w:rFonts w:hint="eastAsia" w:ascii="方正小标宋简体" w:hAnsi="仿宋" w:eastAsia="方正小标宋简体" w:cs="宋体"/>
          <w:bCs/>
          <w:color w:val="auto"/>
          <w:sz w:val="44"/>
          <w:szCs w:val="44"/>
          <w:u w:val="none"/>
          <w:lang w:eastAsia="zh-CN"/>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仿宋" w:eastAsia="方正小标宋简体" w:cs="宋体"/>
          <w:bCs/>
          <w:color w:val="auto"/>
          <w:sz w:val="44"/>
          <w:szCs w:val="44"/>
          <w:u w:val="none"/>
          <w:lang w:eastAsia="zh-CN"/>
        </w:rPr>
        <w:t>大井村）</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3</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五十四</w:t>
      </w:r>
      <w:r>
        <w:rPr>
          <w:rFonts w:hint="default" w:ascii="Times New Roman" w:hAnsi="Times New Roman" w:eastAsia="仿宋_GB2312" w:cs="Times New Roman"/>
          <w:color w:val="auto"/>
          <w:kern w:val="2"/>
          <w:sz w:val="32"/>
          <w:szCs w:val="48"/>
          <w:lang w:val="en-US" w:eastAsia="zh-CN" w:bidi="ar-SA"/>
        </w:rPr>
        <w:t>批次城镇建设用地项目被征地农民养老保障方案如下：</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一、对广州市南沙区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3</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五十四</w:t>
      </w:r>
      <w:r>
        <w:rPr>
          <w:rFonts w:hint="default" w:ascii="Times New Roman" w:hAnsi="Times New Roman" w:eastAsia="仿宋_GB2312" w:cs="Times New Roman"/>
          <w:color w:val="auto"/>
          <w:kern w:val="2"/>
          <w:sz w:val="32"/>
          <w:szCs w:val="48"/>
          <w:lang w:val="en-US" w:eastAsia="zh-CN" w:bidi="ar-SA"/>
        </w:rPr>
        <w:t>批次城镇建设用地项目涉及的</w:t>
      </w:r>
      <w:r>
        <w:rPr>
          <w:rFonts w:hint="eastAsia" w:ascii="Times New Roman" w:hAnsi="Times New Roman" w:eastAsia="仿宋_GB2312" w:cs="Times New Roman"/>
          <w:color w:val="auto"/>
          <w:kern w:val="2"/>
          <w:sz w:val="32"/>
          <w:szCs w:val="48"/>
          <w:lang w:val="en-US" w:eastAsia="zh-CN" w:bidi="ar-SA"/>
        </w:rPr>
        <w:t>大井经济联合社</w:t>
      </w:r>
      <w:r>
        <w:rPr>
          <w:rFonts w:hint="default" w:ascii="Times New Roman" w:hAnsi="Times New Roman" w:eastAsia="仿宋_GB2312" w:cs="Times New Roman"/>
          <w:color w:val="auto"/>
          <w:kern w:val="2"/>
          <w:sz w:val="32"/>
          <w:szCs w:val="48"/>
          <w:lang w:val="en-US" w:eastAsia="zh-CN" w:bidi="ar-SA"/>
        </w:rPr>
        <w:t>被征地农民实施社会养老保险。依据</w:t>
      </w:r>
      <w:r>
        <w:rPr>
          <w:rFonts w:hint="eastAsia"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kern w:val="2"/>
          <w:sz w:val="32"/>
          <w:szCs w:val="48"/>
          <w:lang w:val="en-US" w:eastAsia="zh-CN" w:bidi="ar-SA"/>
        </w:rPr>
        <w:t>提供情况，该项目征地双方于20</w:t>
      </w:r>
      <w:r>
        <w:rPr>
          <w:rFonts w:hint="eastAsia" w:ascii="Times New Roman" w:hAnsi="Times New Roman" w:eastAsia="仿宋_GB2312" w:cs="Times New Roman"/>
          <w:color w:val="auto"/>
          <w:kern w:val="2"/>
          <w:sz w:val="32"/>
          <w:szCs w:val="48"/>
          <w:lang w:val="en-US" w:eastAsia="zh-CN" w:bidi="ar-SA"/>
        </w:rPr>
        <w:t>04</w:t>
      </w:r>
      <w:r>
        <w:rPr>
          <w:rFonts w:hint="default" w:ascii="Times New Roman" w:hAnsi="Times New Roman" w:eastAsia="仿宋_GB2312" w:cs="Times New Roman"/>
          <w:color w:val="auto"/>
          <w:kern w:val="2"/>
          <w:sz w:val="32"/>
          <w:szCs w:val="48"/>
          <w:lang w:val="en-US" w:eastAsia="zh-CN" w:bidi="ar-SA"/>
        </w:rPr>
        <w:t>年</w:t>
      </w:r>
      <w:r>
        <w:rPr>
          <w:rFonts w:hint="eastAsia" w:ascii="Times New Roman" w:hAnsi="Times New Roman" w:eastAsia="仿宋_GB2312" w:cs="Times New Roman"/>
          <w:color w:val="auto"/>
          <w:kern w:val="2"/>
          <w:sz w:val="32"/>
          <w:szCs w:val="48"/>
          <w:lang w:val="en-US" w:eastAsia="zh-CN" w:bidi="ar-SA"/>
        </w:rPr>
        <w:t>10</w:t>
      </w:r>
      <w:r>
        <w:rPr>
          <w:rFonts w:hint="default" w:ascii="Times New Roman" w:hAnsi="Times New Roman" w:eastAsia="仿宋_GB2312" w:cs="Times New Roman"/>
          <w:color w:val="auto"/>
          <w:kern w:val="2"/>
          <w:sz w:val="32"/>
          <w:szCs w:val="48"/>
          <w:lang w:val="en-US" w:eastAsia="zh-CN" w:bidi="ar-SA"/>
        </w:rPr>
        <w:t>月全部完成征地补偿安置协议签订，按粤府办〔2021〕22号文第八点规定执行原征地社保政策。</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二、纳入本次被征地农民养老保障的对象。广州市南沙区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w:t>
      </w:r>
      <w:r>
        <w:rPr>
          <w:rFonts w:hint="eastAsia" w:ascii="Times New Roman" w:hAnsi="Times New Roman" w:eastAsia="仿宋_GB2312" w:cs="Times New Roman"/>
          <w:bCs/>
          <w:color w:val="auto"/>
          <w:kern w:val="0"/>
          <w:sz w:val="32"/>
          <w:szCs w:val="32"/>
          <w:shd w:val="clear" w:color="auto" w:fill="FFFFFF"/>
          <w:lang w:val="en-US" w:eastAsia="zh-CN" w:bidi="ar"/>
        </w:rPr>
        <w:t>3</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五十四</w:t>
      </w:r>
      <w:r>
        <w:rPr>
          <w:rFonts w:hint="default" w:ascii="Times New Roman" w:hAnsi="Times New Roman" w:eastAsia="仿宋_GB2312" w:cs="Times New Roman"/>
          <w:color w:val="auto"/>
          <w:kern w:val="2"/>
          <w:sz w:val="32"/>
          <w:szCs w:val="48"/>
          <w:lang w:val="en-US" w:eastAsia="zh-CN" w:bidi="ar-SA"/>
        </w:rPr>
        <w:t>批次城镇建设用地项目征用我区黄阁镇大井经济联合社集体土地面积</w:t>
      </w:r>
      <w:r>
        <w:rPr>
          <w:rFonts w:hint="eastAsia" w:ascii="Times New Roman" w:hAnsi="Times New Roman" w:eastAsia="仿宋_GB2312" w:cs="Times New Roman"/>
          <w:color w:val="auto"/>
          <w:kern w:val="2"/>
          <w:sz w:val="32"/>
          <w:szCs w:val="48"/>
          <w:lang w:val="en-US" w:eastAsia="zh-CN" w:bidi="ar-SA"/>
        </w:rPr>
        <w:t>共52.878亩</w:t>
      </w:r>
      <w:r>
        <w:rPr>
          <w:rFonts w:hint="default" w:ascii="Times New Roman" w:hAnsi="Times New Roman" w:eastAsia="仿宋_GB2312" w:cs="Times New Roman"/>
          <w:color w:val="auto"/>
          <w:kern w:val="2"/>
          <w:sz w:val="32"/>
          <w:szCs w:val="48"/>
          <w:lang w:val="en-US" w:eastAsia="zh-CN" w:bidi="ar-SA"/>
        </w:rPr>
        <w:t>（其中0亩属于被征地单位留用地）。该项目涉及的被征地单位留用地按规定不计提征地社保费，其余被征土地涉及应纳入养老保障范围的被征地农民</w:t>
      </w:r>
      <w:r>
        <w:rPr>
          <w:rFonts w:hint="default" w:ascii="Times New Roman" w:hAnsi="Times New Roman" w:eastAsia="仿宋_GB2312" w:cs="Times New Roman"/>
          <w:color w:val="auto"/>
          <w:kern w:val="2"/>
          <w:sz w:val="32"/>
          <w:szCs w:val="48"/>
          <w:highlight w:val="none"/>
          <w:lang w:val="en-US" w:eastAsia="zh-CN" w:bidi="ar-SA"/>
        </w:rPr>
        <w:t>共</w:t>
      </w:r>
      <w:r>
        <w:rPr>
          <w:rFonts w:hint="eastAsia" w:ascii="Times New Roman" w:hAnsi="Times New Roman" w:eastAsia="仿宋_GB2312" w:cs="Times New Roman"/>
          <w:color w:val="auto"/>
          <w:kern w:val="2"/>
          <w:sz w:val="32"/>
          <w:szCs w:val="48"/>
          <w:highlight w:val="none"/>
          <w:lang w:val="en-US" w:eastAsia="zh-CN" w:bidi="ar-SA"/>
        </w:rPr>
        <w:t>377</w:t>
      </w:r>
      <w:r>
        <w:rPr>
          <w:rFonts w:hint="default" w:ascii="Times New Roman" w:hAnsi="Times New Roman" w:eastAsia="仿宋_GB2312" w:cs="Times New Roman"/>
          <w:color w:val="auto"/>
          <w:kern w:val="2"/>
          <w:sz w:val="32"/>
          <w:szCs w:val="48"/>
          <w:highlight w:val="none"/>
          <w:lang w:val="en-US" w:eastAsia="zh-CN" w:bidi="ar-SA"/>
        </w:rPr>
        <w:t>人</w:t>
      </w:r>
      <w:r>
        <w:rPr>
          <w:rFonts w:hint="default" w:ascii="Times New Roman" w:hAnsi="Times New Roman" w:eastAsia="仿宋_GB2312" w:cs="Times New Roman"/>
          <w:color w:val="auto"/>
          <w:kern w:val="2"/>
          <w:sz w:val="32"/>
          <w:szCs w:val="48"/>
          <w:lang w:val="en-US" w:eastAsia="zh-CN" w:bidi="ar-SA"/>
        </w:rPr>
        <w:t>。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48"/>
          <w:lang w:val="en-US" w:eastAsia="zh-CN" w:bidi="ar-SA"/>
        </w:rPr>
        <w:t>三、征地社保费标准和筹资办法。征地主体（用地单位）按每人16200元的标准和应纳入养老保障范围的被征地农民人数，将所需资金</w:t>
      </w:r>
      <w:r>
        <w:rPr>
          <w:rFonts w:hint="default" w:ascii="Times New Roman" w:hAnsi="Times New Roman" w:eastAsia="仿宋_GB2312" w:cs="Times New Roman"/>
          <w:color w:val="auto"/>
          <w:kern w:val="2"/>
          <w:sz w:val="32"/>
          <w:szCs w:val="48"/>
          <w:highlight w:val="none"/>
          <w:lang w:val="en-US" w:eastAsia="zh-CN" w:bidi="ar-SA"/>
        </w:rPr>
        <w:t>共</w:t>
      </w:r>
      <w:r>
        <w:rPr>
          <w:rFonts w:hint="eastAsia" w:ascii="Times New Roman" w:hAnsi="Times New Roman" w:eastAsia="仿宋_GB2312" w:cs="Times New Roman"/>
          <w:color w:val="auto"/>
          <w:kern w:val="2"/>
          <w:sz w:val="32"/>
          <w:szCs w:val="48"/>
          <w:highlight w:val="none"/>
          <w:lang w:val="en-US" w:eastAsia="zh-CN" w:bidi="ar-SA"/>
        </w:rPr>
        <w:t>610.74</w:t>
      </w:r>
      <w:r>
        <w:rPr>
          <w:rFonts w:hint="default" w:ascii="Times New Roman" w:hAnsi="Times New Roman" w:eastAsia="仿宋_GB2312" w:cs="Times New Roman"/>
          <w:color w:val="auto"/>
          <w:kern w:val="2"/>
          <w:sz w:val="32"/>
          <w:szCs w:val="48"/>
          <w:highlight w:val="none"/>
          <w:lang w:val="en-US" w:eastAsia="zh-CN" w:bidi="ar-SA"/>
        </w:rPr>
        <w:t>万元</w:t>
      </w:r>
      <w:r>
        <w:rPr>
          <w:rFonts w:hint="default" w:ascii="Times New Roman" w:hAnsi="Times New Roman" w:eastAsia="仿宋_GB2312" w:cs="Times New Roman"/>
          <w:color w:val="auto"/>
          <w:kern w:val="2"/>
          <w:sz w:val="32"/>
          <w:szCs w:val="48"/>
          <w:lang w:val="en-US" w:eastAsia="zh-CN" w:bidi="ar-SA"/>
        </w:rPr>
        <w:t>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keepNext w:val="0"/>
        <w:keepLines w:val="0"/>
        <w:pageBreakBefore w:val="0"/>
        <w:shd w:val="clear"/>
        <w:kinsoku/>
        <w:wordWrap/>
        <w:overflowPunct/>
        <w:topLinePunct w:val="0"/>
        <w:autoSpaceDE/>
        <w:autoSpaceDN/>
        <w:bidi w:val="0"/>
        <w:adjustRightInd/>
        <w:snapToGrid/>
        <w:spacing w:line="560" w:lineRule="exact"/>
        <w:ind w:right="210" w:firstLine="1600" w:firstLineChars="500"/>
        <w:jc w:val="both"/>
        <w:textAlignment w:val="auto"/>
        <w:rPr>
          <w:rFonts w:hint="default" w:ascii="Times New Roman" w:hAnsi="Times New Roman" w:eastAsia="方正小标宋简体" w:cs="Times New Roman"/>
          <w:color w:val="auto"/>
          <w:sz w:val="32"/>
          <w:szCs w:val="32"/>
        </w:rPr>
      </w:pPr>
    </w:p>
    <w:p>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p>
    <w:p>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bidi="ar"/>
        </w:rPr>
      </w:pP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广州市南沙区黄阁</w:t>
      </w:r>
      <w:r>
        <w:rPr>
          <w:rFonts w:hint="default" w:ascii="Times New Roman" w:hAnsi="Times New Roman" w:eastAsia="仿宋_GB2312" w:cs="Times New Roman"/>
          <w:color w:val="auto"/>
          <w:sz w:val="32"/>
          <w:szCs w:val="32"/>
          <w:highlight w:val="none"/>
          <w:shd w:val="clear" w:color="auto" w:fill="auto"/>
        </w:rPr>
        <w:t>镇人民政府</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3814" w:firstLineChars="1192"/>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kern w:val="0"/>
          <w:sz w:val="32"/>
          <w:szCs w:val="32"/>
          <w:highlight w:val="none"/>
          <w:shd w:val="clear" w:color="auto" w:fill="auto"/>
          <w:lang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w:t>
      </w:r>
      <w:bookmarkStart w:id="0" w:name="_GoBack"/>
      <w:bookmarkEnd w:id="0"/>
      <w:r>
        <w:rPr>
          <w:rFonts w:hint="default" w:ascii="Times New Roman" w:hAnsi="Times New Roman" w:eastAsia="仿宋_GB2312" w:cs="Times New Roman"/>
          <w:color w:val="auto"/>
          <w:kern w:val="0"/>
          <w:sz w:val="32"/>
          <w:szCs w:val="32"/>
          <w:highlight w:val="none"/>
          <w:shd w:val="clear" w:color="auto" w:fill="auto"/>
          <w:lang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2024</w:t>
      </w:r>
      <w:r>
        <w:rPr>
          <w:rFonts w:hint="default" w:ascii="Times New Roman" w:hAnsi="Times New Roman" w:eastAsia="仿宋_GB2312" w:cs="Times New Roman"/>
          <w:color w:val="auto"/>
          <w:kern w:val="0"/>
          <w:sz w:val="32"/>
          <w:szCs w:val="32"/>
          <w:highlight w:val="none"/>
          <w:shd w:val="clear" w:color="auto" w:fill="auto"/>
          <w:lang w:bidi="ar"/>
        </w:rPr>
        <w:t>年</w:t>
      </w:r>
      <w:r>
        <w:rPr>
          <w:rFonts w:hint="eastAsia" w:ascii="Times New Roman" w:hAnsi="Times New Roman" w:eastAsia="仿宋_GB2312" w:cs="Times New Roman"/>
          <w:color w:val="auto"/>
          <w:kern w:val="0"/>
          <w:sz w:val="32"/>
          <w:szCs w:val="32"/>
          <w:highlight w:val="none"/>
          <w:shd w:val="clear" w:color="auto" w:fill="auto"/>
          <w:lang w:val="en-US" w:eastAsia="zh-CN" w:bidi="ar"/>
        </w:rPr>
        <w:t>11</w:t>
      </w:r>
      <w:r>
        <w:rPr>
          <w:rFonts w:hint="default" w:ascii="Times New Roman" w:hAnsi="Times New Roman" w:eastAsia="仿宋_GB2312" w:cs="Times New Roman"/>
          <w:color w:val="auto"/>
          <w:kern w:val="0"/>
          <w:sz w:val="32"/>
          <w:szCs w:val="32"/>
          <w:highlight w:val="none"/>
          <w:shd w:val="clear" w:color="auto" w:fill="auto"/>
          <w:lang w:bidi="ar"/>
        </w:rPr>
        <w:t>月</w:t>
      </w:r>
      <w:r>
        <w:rPr>
          <w:rFonts w:hint="eastAsia" w:ascii="Times New Roman" w:hAnsi="Times New Roman" w:eastAsia="仿宋_GB2312" w:cs="Times New Roman"/>
          <w:color w:val="auto"/>
          <w:kern w:val="0"/>
          <w:sz w:val="32"/>
          <w:szCs w:val="32"/>
          <w:highlight w:val="none"/>
          <w:shd w:val="clear" w:color="auto" w:fill="auto"/>
          <w:lang w:val="en-US" w:eastAsia="zh-CN" w:bidi="ar"/>
        </w:rPr>
        <w:t>14</w:t>
      </w:r>
      <w:r>
        <w:rPr>
          <w:rFonts w:hint="default" w:ascii="Times New Roman" w:hAnsi="Times New Roman" w:eastAsia="仿宋_GB2312" w:cs="Times New Roman"/>
          <w:color w:val="auto"/>
          <w:kern w:val="0"/>
          <w:sz w:val="32"/>
          <w:szCs w:val="32"/>
          <w:highlight w:val="none"/>
          <w:shd w:val="clear" w:color="auto" w:fill="auto"/>
          <w:lang w:bidi="ar"/>
        </w:rPr>
        <w:t>日</w:t>
      </w:r>
    </w:p>
    <w:p>
      <w:pPr>
        <w:pStyle w:val="2"/>
        <w:shd w:val="clear"/>
        <w:ind w:left="0" w:leftChars="0" w:firstLine="0" w:firstLineChars="0"/>
        <w:rPr>
          <w:rFonts w:hint="default" w:ascii="Times New Roman" w:hAnsi="Times New Roman" w:eastAsia="仿宋_GB2312" w:cs="Times New Roman"/>
          <w:color w:val="auto"/>
          <w:sz w:val="32"/>
          <w:szCs w:val="32"/>
          <w:highlight w:val="none"/>
          <w:shd w:val="clear" w:color="auto" w:fill="auto"/>
          <w:lang w:bidi="ar"/>
        </w:rPr>
      </w:pPr>
    </w:p>
    <w:p>
      <w:pPr>
        <w:shd w:val="clear"/>
        <w:rPr>
          <w:rFonts w:hint="default" w:ascii="Times New Roman" w:hAnsi="Times New Roman" w:cs="Times New Roman"/>
          <w:color w:val="auto"/>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eastAsia="zh-CN" w:bidi="ar"/>
        </w:rPr>
        <w:t>附件</w:t>
      </w:r>
    </w:p>
    <w:p>
      <w:pPr>
        <w:spacing w:line="600" w:lineRule="exact"/>
        <w:ind w:right="210"/>
        <w:jc w:val="center"/>
        <w:rPr>
          <w:rFonts w:eastAsia="方正小标宋简体"/>
          <w:color w:val="auto"/>
          <w:sz w:val="44"/>
          <w:szCs w:val="44"/>
        </w:rPr>
      </w:pPr>
    </w:p>
    <w:p>
      <w:pPr>
        <w:spacing w:line="600" w:lineRule="exact"/>
        <w:ind w:right="210"/>
        <w:jc w:val="center"/>
        <w:rPr>
          <w:rFonts w:hint="eastAsia" w:eastAsia="方正小标宋简体"/>
          <w:color w:val="auto"/>
          <w:sz w:val="44"/>
          <w:szCs w:val="44"/>
        </w:rPr>
      </w:pPr>
      <w:r>
        <w:rPr>
          <w:rFonts w:hint="eastAsia" w:eastAsia="方正小标宋简体"/>
          <w:color w:val="auto"/>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color w:val="auto"/>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1395"/>
        <w:gridCol w:w="1089"/>
        <w:gridCol w:w="1089"/>
        <w:gridCol w:w="1089"/>
        <w:gridCol w:w="1092"/>
        <w:gridCol w:w="1086"/>
        <w:gridCol w:w="78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395"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被征地单位</w:t>
            </w:r>
          </w:p>
        </w:tc>
        <w:tc>
          <w:tcPr>
            <w:tcW w:w="4359"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征收土地面积</w:t>
            </w:r>
          </w:p>
        </w:tc>
        <w:tc>
          <w:tcPr>
            <w:tcW w:w="1086"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属于被征地单位留用地面积</w:t>
            </w:r>
          </w:p>
        </w:tc>
        <w:tc>
          <w:tcPr>
            <w:tcW w:w="784"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4" w:hRule="atLeast"/>
        </w:trPr>
        <w:tc>
          <w:tcPr>
            <w:tcW w:w="2395"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合计</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农用地</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建设用地</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未利用地</w:t>
            </w:r>
          </w:p>
        </w:tc>
        <w:tc>
          <w:tcPr>
            <w:tcW w:w="1086"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784"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8" w:hRule="atLeast"/>
        </w:trPr>
        <w:tc>
          <w:tcPr>
            <w:tcW w:w="10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eastAsia="zh-CN"/>
              </w:rPr>
              <w:t>黄阁镇</w:t>
            </w:r>
          </w:p>
        </w:tc>
        <w:tc>
          <w:tcPr>
            <w:tcW w:w="139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eastAsia="zh-CN"/>
              </w:rPr>
              <w:t>大井经济联合社</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52.878</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50.715</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2.007</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0.156</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bidi="ar-SA"/>
              </w:rPr>
              <w:t>377</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610.74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395"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    计</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52.878</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50.715</w:t>
            </w:r>
          </w:p>
        </w:tc>
        <w:tc>
          <w:tcPr>
            <w:tcW w:w="1089"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2.007</w:t>
            </w:r>
          </w:p>
        </w:tc>
        <w:tc>
          <w:tcPr>
            <w:tcW w:w="1092"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rPr>
              <w:t>0.156</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eastAsia"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eastAsia" w:ascii="Times New Roman" w:hAnsi="Times New Roman" w:eastAsia="仿宋_GB2312" w:cs="Times New Roman"/>
                <w:color w:val="auto"/>
                <w:kern w:val="0"/>
                <w:sz w:val="28"/>
                <w:szCs w:val="28"/>
                <w:shd w:val="clear"/>
                <w:lang w:val="en-US" w:eastAsia="zh-CN"/>
              </w:rPr>
              <w:t>377</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rPr>
              <w:t>610.74</w:t>
            </w:r>
          </w:p>
        </w:tc>
      </w:tr>
    </w:tbl>
    <w:p>
      <w:pPr>
        <w:spacing w:line="320" w:lineRule="exact"/>
        <w:ind w:right="21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shd w:val="clea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120006A"/>
    <w:rsid w:val="0957094B"/>
    <w:rsid w:val="119D50E7"/>
    <w:rsid w:val="126B7053"/>
    <w:rsid w:val="12925B8D"/>
    <w:rsid w:val="175A2F70"/>
    <w:rsid w:val="1E4801ED"/>
    <w:rsid w:val="1F3E320D"/>
    <w:rsid w:val="26261822"/>
    <w:rsid w:val="26E62808"/>
    <w:rsid w:val="290943C7"/>
    <w:rsid w:val="2ACA551A"/>
    <w:rsid w:val="31E267E6"/>
    <w:rsid w:val="33C7174B"/>
    <w:rsid w:val="387E705A"/>
    <w:rsid w:val="389F6D9E"/>
    <w:rsid w:val="3F1F7F62"/>
    <w:rsid w:val="44D33814"/>
    <w:rsid w:val="45BF28DF"/>
    <w:rsid w:val="499F5653"/>
    <w:rsid w:val="503B267E"/>
    <w:rsid w:val="5535721E"/>
    <w:rsid w:val="55877F62"/>
    <w:rsid w:val="56962345"/>
    <w:rsid w:val="584D4A7D"/>
    <w:rsid w:val="594A28A6"/>
    <w:rsid w:val="5EA06708"/>
    <w:rsid w:val="60DD0EC7"/>
    <w:rsid w:val="636010A0"/>
    <w:rsid w:val="66D12E74"/>
    <w:rsid w:val="68644FD2"/>
    <w:rsid w:val="6BE56CEC"/>
    <w:rsid w:val="6D956C9C"/>
    <w:rsid w:val="700C6DFB"/>
    <w:rsid w:val="76F07C34"/>
    <w:rsid w:val="78F6388E"/>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lgzx</cp:lastModifiedBy>
  <cp:lastPrinted>2024-11-08T06:51:00Z</cp:lastPrinted>
  <dcterms:modified xsi:type="dcterms:W3CDTF">2024-11-14T06:17:12Z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2A5F934D7C1842B38CE9039BC6237F2C</vt:lpwstr>
  </property>
</Properties>
</file>