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6212">
      <w:pPr>
        <w:tabs>
          <w:tab w:val="left" w:pos="337"/>
        </w:tabs>
        <w:spacing w:before="166" w:line="219" w:lineRule="auto"/>
        <w:ind w:left="89"/>
        <w:outlineLvl w:val="0"/>
        <w:rPr>
          <w:rFonts w:ascii="宋体" w:hAnsi="宋体" w:eastAsia="宋体" w:cs="宋体"/>
          <w:sz w:val="84"/>
          <w:szCs w:val="84"/>
        </w:rPr>
      </w:pPr>
    </w:p>
    <w:p w14:paraId="73C3B058">
      <w:pPr>
        <w:spacing w:line="310" w:lineRule="auto"/>
        <w:rPr>
          <w:rFonts w:ascii="Arial"/>
          <w:sz w:val="21"/>
        </w:rPr>
      </w:pPr>
    </w:p>
    <w:p w14:paraId="06E14F14">
      <w:pPr>
        <w:spacing w:line="310" w:lineRule="auto"/>
        <w:rPr>
          <w:rFonts w:ascii="Arial"/>
          <w:sz w:val="21"/>
        </w:rPr>
      </w:pPr>
    </w:p>
    <w:p w14:paraId="225DB758">
      <w:pPr>
        <w:widowControl w:val="0"/>
        <w:kinsoku/>
        <w:autoSpaceDE/>
        <w:autoSpaceDN/>
        <w:adjustRightInd/>
        <w:snapToGrid/>
        <w:spacing w:line="560" w:lineRule="exact"/>
        <w:jc w:val="center"/>
        <w:textAlignment w:val="auto"/>
        <w:rPr>
          <w:rFonts w:ascii="Times New Roman" w:hAnsi="Times New Roman" w:eastAsia="方正小标宋简体" w:cs="Times New Roman"/>
          <w:snapToGrid/>
          <w:kern w:val="2"/>
          <w:sz w:val="44"/>
          <w:szCs w:val="44"/>
          <w:lang w:eastAsia="zh-CN"/>
        </w:rPr>
      </w:pPr>
      <w:r>
        <w:rPr>
          <w:rFonts w:ascii="Times New Roman" w:hAnsi="Times New Roman" w:eastAsia="方正小标宋简体" w:cs="Times New Roman"/>
          <w:snapToGrid/>
          <w:kern w:val="2"/>
          <w:sz w:val="44"/>
          <w:szCs w:val="44"/>
          <w:lang w:eastAsia="zh-CN"/>
        </w:rPr>
        <w:t>广州市花都区2022年度第四十二批次城镇</w:t>
      </w:r>
    </w:p>
    <w:p w14:paraId="25FCCE32">
      <w:pPr>
        <w:widowControl w:val="0"/>
        <w:kinsoku/>
        <w:autoSpaceDE/>
        <w:autoSpaceDN/>
        <w:adjustRightInd/>
        <w:snapToGrid/>
        <w:spacing w:line="560" w:lineRule="exact"/>
        <w:jc w:val="center"/>
        <w:textAlignment w:val="auto"/>
        <w:rPr>
          <w:rFonts w:ascii="Times New Roman" w:hAnsi="Times New Roman" w:eastAsia="方正小标宋简体" w:cs="Times New Roman"/>
          <w:snapToGrid/>
          <w:kern w:val="2"/>
          <w:sz w:val="44"/>
          <w:szCs w:val="44"/>
          <w:lang w:eastAsia="zh-CN"/>
        </w:rPr>
      </w:pPr>
      <w:r>
        <w:rPr>
          <w:rFonts w:ascii="Times New Roman" w:hAnsi="Times New Roman" w:eastAsia="方正小标宋简体" w:cs="Times New Roman"/>
          <w:snapToGrid/>
          <w:kern w:val="2"/>
          <w:sz w:val="44"/>
          <w:szCs w:val="44"/>
          <w:lang w:eastAsia="zh-CN"/>
        </w:rPr>
        <w:t>建设用地</w:t>
      </w:r>
      <w:r>
        <w:rPr>
          <w:rFonts w:hint="eastAsia" w:ascii="Times New Roman" w:hAnsi="Times New Roman" w:eastAsia="方正小标宋简体" w:cs="Times New Roman"/>
          <w:snapToGrid/>
          <w:kern w:val="2"/>
          <w:sz w:val="44"/>
          <w:szCs w:val="44"/>
          <w:lang w:eastAsia="zh-CN"/>
        </w:rPr>
        <w:t>（</w:t>
      </w:r>
      <w:r>
        <w:rPr>
          <w:rFonts w:ascii="Times New Roman" w:hAnsi="Times New Roman" w:eastAsia="方正小标宋简体" w:cs="Times New Roman"/>
          <w:snapToGrid/>
          <w:kern w:val="2"/>
          <w:sz w:val="44"/>
          <w:szCs w:val="44"/>
          <w:lang w:eastAsia="zh-CN"/>
        </w:rPr>
        <w:t>广州市花都区新街村、大陵村</w:t>
      </w:r>
    </w:p>
    <w:p w14:paraId="59302D6B">
      <w:pPr>
        <w:widowControl w:val="0"/>
        <w:kinsoku/>
        <w:autoSpaceDE/>
        <w:autoSpaceDN/>
        <w:adjustRightInd/>
        <w:snapToGrid/>
        <w:spacing w:line="560" w:lineRule="exact"/>
        <w:jc w:val="center"/>
        <w:textAlignment w:val="auto"/>
        <w:rPr>
          <w:rFonts w:ascii="Times New Roman" w:hAnsi="Times New Roman" w:eastAsia="方正小标宋简体" w:cs="Times New Roman"/>
          <w:snapToGrid/>
          <w:kern w:val="2"/>
          <w:sz w:val="44"/>
          <w:szCs w:val="44"/>
          <w:lang w:eastAsia="zh-CN"/>
        </w:rPr>
      </w:pPr>
      <w:r>
        <w:rPr>
          <w:rFonts w:ascii="Times New Roman" w:hAnsi="Times New Roman" w:eastAsia="方正小标宋简体" w:cs="Times New Roman"/>
          <w:snapToGrid/>
          <w:kern w:val="2"/>
          <w:sz w:val="44"/>
          <w:szCs w:val="44"/>
          <w:lang w:eastAsia="zh-CN"/>
        </w:rPr>
        <w:t>城中村改造项目地块一</w:t>
      </w:r>
      <w:r>
        <w:rPr>
          <w:rFonts w:hint="eastAsia" w:ascii="Times New Roman" w:hAnsi="Times New Roman" w:eastAsia="方正小标宋简体" w:cs="Times New Roman"/>
          <w:snapToGrid/>
          <w:kern w:val="2"/>
          <w:sz w:val="44"/>
          <w:szCs w:val="44"/>
          <w:lang w:eastAsia="zh-CN"/>
        </w:rPr>
        <w:t>）</w:t>
      </w:r>
      <w:r>
        <w:rPr>
          <w:rFonts w:ascii="Times New Roman" w:hAnsi="Times New Roman" w:eastAsia="方正小标宋简体" w:cs="Times New Roman"/>
          <w:snapToGrid/>
          <w:kern w:val="2"/>
          <w:sz w:val="44"/>
          <w:szCs w:val="44"/>
          <w:lang w:eastAsia="zh-CN"/>
        </w:rPr>
        <w:t>项目被征地</w:t>
      </w:r>
    </w:p>
    <w:p w14:paraId="5E1587F3">
      <w:pPr>
        <w:widowControl w:val="0"/>
        <w:kinsoku/>
        <w:autoSpaceDE/>
        <w:autoSpaceDN/>
        <w:adjustRightInd/>
        <w:snapToGrid/>
        <w:spacing w:line="560" w:lineRule="exact"/>
        <w:jc w:val="center"/>
        <w:textAlignment w:val="auto"/>
        <w:rPr>
          <w:rFonts w:ascii="Times New Roman" w:hAnsi="Times New Roman" w:eastAsia="方正小标宋简体" w:cs="Times New Roman"/>
          <w:snapToGrid/>
          <w:kern w:val="2"/>
          <w:sz w:val="44"/>
          <w:szCs w:val="44"/>
          <w:lang w:eastAsia="zh-CN"/>
        </w:rPr>
      </w:pPr>
      <w:r>
        <w:rPr>
          <w:rFonts w:ascii="Times New Roman" w:hAnsi="Times New Roman" w:eastAsia="方正小标宋简体" w:cs="Times New Roman"/>
          <w:snapToGrid/>
          <w:kern w:val="2"/>
          <w:sz w:val="44"/>
          <w:szCs w:val="44"/>
          <w:lang w:eastAsia="zh-CN"/>
        </w:rPr>
        <w:t>农民养老保障方案</w:t>
      </w:r>
    </w:p>
    <w:p w14:paraId="291307C0">
      <w:pPr>
        <w:rPr>
          <w:rFonts w:ascii="Arial"/>
          <w:sz w:val="21"/>
        </w:rPr>
      </w:pPr>
    </w:p>
    <w:p w14:paraId="382A75DB">
      <w:pPr>
        <w:rPr>
          <w:rFonts w:ascii="Arial"/>
          <w:sz w:val="21"/>
        </w:rPr>
      </w:pPr>
    </w:p>
    <w:p w14:paraId="24C60895">
      <w:pPr>
        <w:pStyle w:val="2"/>
        <w:spacing w:before="117" w:line="279" w:lineRule="auto"/>
        <w:ind w:firstLine="699"/>
        <w:jc w:val="both"/>
      </w:pPr>
      <w:r>
        <w:rPr>
          <w:rFonts w:ascii="Times New Roman" w:hAnsi="Times New Roman" w:eastAsia="仿宋_GB2312" w:cs="Times New Roman"/>
          <w:snapToGrid/>
          <w:kern w:val="2"/>
          <w:sz w:val="32"/>
          <w:szCs w:val="32"/>
          <w:lang w:val="en-US" w:eastAsia="zh-CN" w:bidi="ar-SA"/>
        </w:rPr>
        <w:t>依照《中华人民共和国土地管理法》《关于切实做好被征地 农民社会保障工作有关问题的通知》</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劳社部发〔2007〕14号</w:t>
      </w:r>
      <w:r>
        <w:rPr>
          <w:rFonts w:hint="eastAsia" w:ascii="Times New Roman" w:hAnsi="Times New Roman" w:eastAsia="仿宋_GB2312" w:cs="Times New Roman"/>
          <w:snapToGrid/>
          <w:kern w:val="2"/>
          <w:sz w:val="32"/>
          <w:szCs w:val="32"/>
          <w:lang w:val="en-US" w:eastAsia="zh-CN" w:bidi="ar-SA"/>
        </w:rPr>
        <w:t>） 《</w:t>
      </w:r>
      <w:r>
        <w:rPr>
          <w:rFonts w:ascii="Times New Roman" w:hAnsi="Times New Roman" w:eastAsia="仿宋_GB2312" w:cs="Times New Roman"/>
          <w:snapToGrid/>
          <w:kern w:val="2"/>
          <w:sz w:val="32"/>
          <w:szCs w:val="32"/>
          <w:lang w:val="en-US" w:eastAsia="zh-CN" w:bidi="ar-SA"/>
        </w:rPr>
        <w:t>广东省人民政府办公厅转发省人力资源社会保障厅关于进一步完善我省被征地农民养老保障政策意见的通知</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粤府办〔2021〕22号</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和《广州市人民政府办公厅转发关于进一步完善我省被征地农民养老保障政策意见的通知》</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穗府办规〔2022〕3号</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等有关规定，拟定广州市花都区2022年度第四十</w:t>
      </w:r>
      <w:r>
        <w:rPr>
          <w:rFonts w:hint="eastAsia" w:ascii="Times New Roman" w:hAnsi="Times New Roman" w:eastAsia="仿宋_GB2312" w:cs="Times New Roman"/>
          <w:snapToGrid/>
          <w:kern w:val="2"/>
          <w:sz w:val="32"/>
          <w:szCs w:val="32"/>
          <w:lang w:val="en-US" w:eastAsia="zh-CN" w:bidi="ar-SA"/>
        </w:rPr>
        <w:t>二</w:t>
      </w:r>
      <w:r>
        <w:rPr>
          <w:rFonts w:ascii="Times New Roman" w:hAnsi="Times New Roman" w:eastAsia="仿宋_GB2312" w:cs="Times New Roman"/>
          <w:snapToGrid/>
          <w:kern w:val="2"/>
          <w:sz w:val="32"/>
          <w:szCs w:val="32"/>
          <w:lang w:val="en-US" w:eastAsia="zh-CN" w:bidi="ar-SA"/>
        </w:rPr>
        <w:t>批次城镇建设用地</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广州市花都区新街村、大陵村城中村改造项目地块一</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被征地农民养老保障方案如下：</w:t>
      </w:r>
    </w:p>
    <w:p w14:paraId="33D84050">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 xml:space="preserve">一、对广州市花都区2022年度第四十二批次城镇建设用地 </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广州市花都区新街村、大陵村城中村改造项目地块一</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项目涉 及的被征地农民实施社会养老保障。</w:t>
      </w:r>
    </w:p>
    <w:p w14:paraId="026BD372">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二、征地社保费筹集。依据市规划和自然资源局花都区分局 提供情况，该项目征收我区新华街新街村土地面积共17.9085亩， 其中0亩属于农村集体经济组织留用地，征地双方目前尚未签订</w:t>
      </w:r>
    </w:p>
    <w:p w14:paraId="2AD41EB4">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sectPr>
          <w:pgSz w:w="11910" w:h="16850"/>
          <w:pgMar w:top="1231" w:right="1349" w:bottom="1830" w:left="1520" w:header="0" w:footer="1769" w:gutter="0"/>
          <w:cols w:space="720" w:num="1"/>
        </w:sectPr>
      </w:pPr>
    </w:p>
    <w:p w14:paraId="7231AEA7">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p>
    <w:p w14:paraId="4F0A269B">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p>
    <w:p w14:paraId="51CAABE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征地补偿安置协议。该项目征地社保费应按2.14万元/亩的标准 计提</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即征地补偿安置方案制定时，花都区平均每亩征收农用地区片综合地价13.33万元/亩的16%</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,需计提资金38.33万元由 征地主体</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用地单位</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一次性预存入花都区社会保险基金管理办公室“收缴被征地农民养老保障资金过渡户”</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中国建设银行广州市绿色金融改革创新试验区花都分</w:t>
      </w:r>
      <w:r>
        <w:rPr>
          <w:rFonts w:hint="eastAsia" w:ascii="Times New Roman" w:hAnsi="Times New Roman" w:eastAsia="仿宋_GB2312" w:cs="Times New Roman"/>
          <w:snapToGrid/>
          <w:kern w:val="2"/>
          <w:sz w:val="32"/>
          <w:szCs w:val="32"/>
          <w:lang w:val="en-US" w:eastAsia="zh-CN" w:bidi="ar-SA"/>
        </w:rPr>
        <w:t>行，</w:t>
      </w:r>
      <w:r>
        <w:rPr>
          <w:rFonts w:ascii="Times New Roman" w:hAnsi="Times New Roman" w:eastAsia="仿宋_GB2312" w:cs="Times New Roman"/>
          <w:snapToGrid/>
          <w:kern w:val="2"/>
          <w:sz w:val="32"/>
          <w:szCs w:val="32"/>
          <w:lang w:val="en-US" w:eastAsia="zh-CN" w:bidi="ar-SA"/>
        </w:rPr>
        <w:t>44050155150100002584</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w:t>
      </w:r>
    </w:p>
    <w:p w14:paraId="0EC7B1E7">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三、征地社保费补贴对象。按“筹集资金分配到户，户内平 均分配到人”的基本原则确定征地社保补贴对象。享有农村集体 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如实行土地股份制经济或者集体统一经营土地等情况</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可从其规定。</w:t>
      </w:r>
    </w:p>
    <w:p w14:paraId="5033A303">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四、征地社保费发放。一是征地社保费与征地安置补偿费同期拨付。征地实施部门在拟发放征地安置补助费时，应告知同级人力资源社会保障部门和征地项目所在乡镇人民政府</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街道办事处</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。乡镇人民政府</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街道办事处</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牵头组织被征地农户在15 个工作日内按时提供具体参保人员名单和分配金额。被征地农户未按时提供的，由乡镇人民政府</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街道办事处</w:t>
      </w:r>
      <w:r>
        <w:rPr>
          <w:rFonts w:hint="eastAsia" w:ascii="Times New Roman" w:hAnsi="Times New Roman" w:eastAsia="仿宋_GB2312" w:cs="Times New Roman"/>
          <w:snapToGrid/>
          <w:kern w:val="2"/>
          <w:sz w:val="32"/>
          <w:szCs w:val="32"/>
          <w:lang w:val="en-US" w:eastAsia="zh-CN" w:bidi="ar-SA"/>
        </w:rPr>
        <w:t>）</w:t>
      </w:r>
      <w:r>
        <w:rPr>
          <w:rFonts w:ascii="Times New Roman" w:hAnsi="Times New Roman" w:eastAsia="仿宋_GB2312" w:cs="Times New Roman"/>
          <w:snapToGrid/>
          <w:kern w:val="2"/>
          <w:sz w:val="32"/>
          <w:szCs w:val="32"/>
          <w:lang w:val="en-US" w:eastAsia="zh-CN" w:bidi="ar-SA"/>
        </w:rPr>
        <w:t>按被征地农户的 16周岁以上人口平均分配资金原则确定参保人员名单和分配金额，送所属人力资源社会保障部门办理社保手续。二是符合条件的被征地农民按规定享受征地社保补贴，一次性划入其城乡居民</w:t>
      </w:r>
    </w:p>
    <w:p w14:paraId="01198A88">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sectPr>
          <w:footerReference r:id="rId5" w:type="default"/>
          <w:pgSz w:w="11910" w:h="16850"/>
          <w:pgMar w:top="1432" w:right="1519" w:bottom="1714" w:left="1539" w:header="0" w:footer="1397" w:gutter="0"/>
          <w:cols w:space="720" w:num="1"/>
        </w:sectPr>
      </w:pPr>
    </w:p>
    <w:p w14:paraId="53DBE066">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p>
    <w:p w14:paraId="0ACC200C">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p>
    <w:p w14:paraId="28F64AAC">
      <w:pPr>
        <w:pStyle w:val="2"/>
        <w:spacing w:before="117" w:line="279" w:lineRule="auto"/>
        <w:ind w:firstLine="699"/>
        <w:jc w:val="both"/>
        <w:rPr>
          <w:rFonts w:ascii="Times New Roman" w:hAnsi="Times New Roman" w:eastAsia="仿宋_GB2312" w:cs="Times New Roman"/>
          <w:snapToGrid/>
          <w:kern w:val="2"/>
          <w:sz w:val="32"/>
          <w:szCs w:val="32"/>
          <w:lang w:val="en-US" w:eastAsia="zh-CN" w:bidi="ar-SA"/>
        </w:rPr>
      </w:pPr>
    </w:p>
    <w:p w14:paraId="57DAD79B">
      <w:pPr>
        <w:pStyle w:val="2"/>
        <w:spacing w:before="117" w:line="279" w:lineRule="auto"/>
        <w:jc w:val="both"/>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养老保险个人账户，不计算实际缴费年限；其中已领取城镇职工基本养老金的，一次性支付个人。</w:t>
      </w:r>
    </w:p>
    <w:p w14:paraId="0AADE797">
      <w:pPr>
        <w:rPr>
          <w:rFonts w:ascii="Arial"/>
          <w:sz w:val="21"/>
        </w:rPr>
      </w:pPr>
    </w:p>
    <w:p w14:paraId="1137A4F2">
      <w:pPr>
        <w:rPr>
          <w:rFonts w:ascii="Arial"/>
          <w:sz w:val="21"/>
        </w:rPr>
      </w:pPr>
    </w:p>
    <w:p w14:paraId="79A77FA9">
      <w:pPr>
        <w:pStyle w:val="2"/>
        <w:spacing w:before="117" w:line="279" w:lineRule="auto"/>
        <w:jc w:val="both"/>
        <w:rPr>
          <w:rFonts w:ascii="Times New Roman" w:hAnsi="Times New Roman" w:eastAsia="仿宋_GB2312" w:cs="Times New Roman"/>
          <w:snapToGrid/>
          <w:kern w:val="2"/>
          <w:sz w:val="32"/>
          <w:szCs w:val="32"/>
          <w:lang w:val="en-US" w:eastAsia="zh-CN" w:bidi="ar-SA"/>
        </w:rPr>
      </w:pPr>
      <w:r>
        <w:rPr>
          <w:rFonts w:ascii="Times New Roman" w:hAnsi="Times New Roman" w:eastAsia="仿宋_GB2312" w:cs="Times New Roman"/>
          <w:snapToGrid/>
          <w:kern w:val="2"/>
          <w:sz w:val="32"/>
          <w:szCs w:val="32"/>
          <w:lang w:val="en-US" w:eastAsia="zh-CN" w:bidi="ar-SA"/>
        </w:rPr>
        <w:t>附件：征地土地及养老保障情况表</w:t>
      </w:r>
    </w:p>
    <w:p w14:paraId="10B58ACD">
      <w:pPr>
        <w:spacing w:line="258" w:lineRule="auto"/>
        <w:rPr>
          <w:rFonts w:ascii="Arial"/>
          <w:sz w:val="21"/>
        </w:rPr>
      </w:pPr>
    </w:p>
    <w:p w14:paraId="10BE3100">
      <w:pPr>
        <w:spacing w:line="258" w:lineRule="auto"/>
        <w:rPr>
          <w:rFonts w:ascii="Arial"/>
          <w:sz w:val="21"/>
        </w:rPr>
      </w:pPr>
    </w:p>
    <w:p w14:paraId="572C395C">
      <w:pPr>
        <w:spacing w:line="258" w:lineRule="auto"/>
        <w:rPr>
          <w:rFonts w:ascii="Arial"/>
          <w:sz w:val="21"/>
        </w:rPr>
      </w:pPr>
    </w:p>
    <w:p w14:paraId="0AC73780">
      <w:pPr>
        <w:spacing w:line="258" w:lineRule="auto"/>
        <w:rPr>
          <w:rFonts w:ascii="Arial"/>
          <w:sz w:val="21"/>
        </w:rPr>
      </w:pPr>
    </w:p>
    <w:p w14:paraId="5E39C802">
      <w:pPr>
        <w:spacing w:line="259" w:lineRule="auto"/>
        <w:rPr>
          <w:rFonts w:ascii="Arial"/>
          <w:sz w:val="21"/>
        </w:rPr>
      </w:pPr>
    </w:p>
    <w:p w14:paraId="74902C05">
      <w:pPr>
        <w:spacing w:line="259" w:lineRule="auto"/>
        <w:rPr>
          <w:rFonts w:ascii="Arial"/>
          <w:sz w:val="21"/>
        </w:rPr>
      </w:pPr>
    </w:p>
    <w:p w14:paraId="18414939">
      <w:pPr>
        <w:spacing w:line="259" w:lineRule="auto"/>
        <w:rPr>
          <w:rFonts w:ascii="Arial"/>
          <w:sz w:val="21"/>
        </w:rPr>
      </w:pPr>
    </w:p>
    <w:p w14:paraId="4AB64D89">
      <w:pPr>
        <w:pStyle w:val="2"/>
        <w:spacing w:before="104" w:line="311" w:lineRule="auto"/>
        <w:ind w:left="4759" w:right="500" w:hanging="1580"/>
        <w:rPr>
          <w:sz w:val="32"/>
          <w:szCs w:val="32"/>
        </w:rPr>
      </w:pPr>
      <w:r>
        <w:rPr>
          <w:spacing w:val="-2"/>
          <w:sz w:val="32"/>
          <w:szCs w:val="32"/>
        </w:rPr>
        <w:t>广州市花都区人力资源和社会保障局</w:t>
      </w:r>
      <w:r>
        <w:rPr>
          <w:spacing w:val="10"/>
          <w:sz w:val="32"/>
          <w:szCs w:val="32"/>
        </w:rPr>
        <w:t xml:space="preserve"> </w:t>
      </w:r>
      <w:r>
        <w:rPr>
          <w:spacing w:val="37"/>
          <w:sz w:val="32"/>
          <w:szCs w:val="32"/>
        </w:rPr>
        <w:t>2024年9月29日</w:t>
      </w:r>
    </w:p>
    <w:p w14:paraId="2B5E59EE">
      <w:pPr>
        <w:spacing w:line="311" w:lineRule="auto"/>
        <w:rPr>
          <w:sz w:val="32"/>
          <w:szCs w:val="32"/>
        </w:rPr>
        <w:sectPr>
          <w:footerReference r:id="rId6" w:type="default"/>
          <w:pgSz w:w="11910" w:h="16850"/>
          <w:pgMar w:top="1432" w:right="1529" w:bottom="1574" w:left="1599" w:header="0" w:footer="1257" w:gutter="0"/>
          <w:cols w:space="720" w:num="1"/>
        </w:sectPr>
      </w:pPr>
    </w:p>
    <w:p w14:paraId="30D1CE9E">
      <w:pPr>
        <w:spacing w:line="264" w:lineRule="auto"/>
        <w:rPr>
          <w:rFonts w:ascii="Arial"/>
          <w:sz w:val="21"/>
        </w:rPr>
      </w:pPr>
    </w:p>
    <w:p w14:paraId="40891263">
      <w:pPr>
        <w:spacing w:line="265" w:lineRule="auto"/>
        <w:rPr>
          <w:rFonts w:ascii="Arial"/>
          <w:sz w:val="21"/>
        </w:rPr>
      </w:pPr>
    </w:p>
    <w:p w14:paraId="32E165AF">
      <w:pPr>
        <w:spacing w:line="265" w:lineRule="auto"/>
        <w:rPr>
          <w:rFonts w:ascii="Arial"/>
          <w:sz w:val="21"/>
        </w:rPr>
      </w:pPr>
    </w:p>
    <w:p w14:paraId="51B1815A">
      <w:pPr>
        <w:spacing w:before="101" w:line="224" w:lineRule="auto"/>
        <w:ind w:left="134"/>
        <w:rPr>
          <w:rFonts w:ascii="黑体" w:hAnsi="黑体" w:eastAsia="黑体" w:cs="黑体"/>
          <w:sz w:val="31"/>
          <w:szCs w:val="31"/>
        </w:rPr>
      </w:pPr>
      <w:r>
        <w:rPr>
          <w:rFonts w:ascii="黑体" w:hAnsi="黑体" w:eastAsia="黑体" w:cs="黑体"/>
          <w:b/>
          <w:bCs/>
          <w:spacing w:val="-1"/>
          <w:sz w:val="31"/>
          <w:szCs w:val="31"/>
        </w:rPr>
        <w:t>附件</w:t>
      </w:r>
    </w:p>
    <w:p w14:paraId="620C5201">
      <w:pPr>
        <w:pStyle w:val="2"/>
        <w:spacing w:before="215" w:line="221" w:lineRule="auto"/>
        <w:ind w:left="1786"/>
        <w:rPr>
          <w:sz w:val="44"/>
          <w:szCs w:val="44"/>
        </w:rPr>
      </w:pPr>
      <w:r>
        <w:rPr>
          <w:b/>
          <w:bCs/>
          <w:spacing w:val="-7"/>
          <w:sz w:val="44"/>
          <w:szCs w:val="44"/>
        </w:rPr>
        <w:t>征收土地及养老保障情况表</w:t>
      </w:r>
    </w:p>
    <w:p w14:paraId="3C8CC9D4">
      <w:pPr>
        <w:spacing w:before="209" w:line="220" w:lineRule="auto"/>
        <w:ind w:left="6450"/>
        <w:rPr>
          <w:rFonts w:ascii="宋体" w:hAnsi="宋体" w:eastAsia="宋体" w:cs="宋体"/>
          <w:sz w:val="24"/>
          <w:szCs w:val="24"/>
        </w:rPr>
      </w:pPr>
      <w:r>
        <w:rPr>
          <w:rFonts w:ascii="宋体" w:hAnsi="宋体" w:eastAsia="宋体" w:cs="宋体"/>
          <w:spacing w:val="1"/>
          <w:sz w:val="24"/>
          <w:szCs w:val="24"/>
        </w:rPr>
        <w:t>单位：亩、万元</w:t>
      </w:r>
    </w:p>
    <w:p w14:paraId="02F6FC87">
      <w:pPr>
        <w:spacing w:line="48" w:lineRule="exact"/>
      </w:pPr>
    </w:p>
    <w:tbl>
      <w:tblPr>
        <w:tblStyle w:val="6"/>
        <w:tblW w:w="8659"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617"/>
        <w:gridCol w:w="1718"/>
        <w:gridCol w:w="1957"/>
        <w:gridCol w:w="1493"/>
      </w:tblGrid>
      <w:tr w14:paraId="2A54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3491" w:type="dxa"/>
            <w:gridSpan w:val="2"/>
            <w:vAlign w:val="top"/>
          </w:tcPr>
          <w:p w14:paraId="75DF8525">
            <w:pPr>
              <w:spacing w:line="334" w:lineRule="auto"/>
              <w:rPr>
                <w:rFonts w:ascii="Arial"/>
                <w:sz w:val="21"/>
              </w:rPr>
            </w:pPr>
          </w:p>
          <w:p w14:paraId="7BDC2D88">
            <w:pPr>
              <w:pStyle w:val="7"/>
              <w:spacing w:before="78" w:line="219" w:lineRule="auto"/>
              <w:ind w:left="1135"/>
            </w:pPr>
            <w:r>
              <w:rPr>
                <w:spacing w:val="-2"/>
              </w:rPr>
              <w:t>被征地单位</w:t>
            </w:r>
            <w:bookmarkStart w:id="0" w:name="_GoBack"/>
            <w:bookmarkEnd w:id="0"/>
          </w:p>
        </w:tc>
        <w:tc>
          <w:tcPr>
            <w:tcW w:w="1718" w:type="dxa"/>
            <w:vAlign w:val="top"/>
          </w:tcPr>
          <w:p w14:paraId="0138D773">
            <w:pPr>
              <w:spacing w:line="334" w:lineRule="auto"/>
              <w:rPr>
                <w:rFonts w:ascii="Arial"/>
                <w:sz w:val="21"/>
              </w:rPr>
            </w:pPr>
          </w:p>
          <w:p w14:paraId="105A1A2C">
            <w:pPr>
              <w:pStyle w:val="7"/>
              <w:spacing w:before="78" w:line="219" w:lineRule="auto"/>
              <w:ind w:left="133"/>
            </w:pPr>
            <w:r>
              <w:rPr>
                <w:spacing w:val="2"/>
              </w:rPr>
              <w:t>征收土地面积</w:t>
            </w:r>
          </w:p>
        </w:tc>
        <w:tc>
          <w:tcPr>
            <w:tcW w:w="1957" w:type="dxa"/>
            <w:vAlign w:val="top"/>
          </w:tcPr>
          <w:p w14:paraId="23877416">
            <w:pPr>
              <w:pStyle w:val="7"/>
              <w:spacing w:before="243" w:line="230" w:lineRule="auto"/>
              <w:ind w:left="135" w:right="115"/>
            </w:pPr>
            <w:r>
              <w:rPr>
                <w:spacing w:val="-2"/>
              </w:rPr>
              <w:t>其中属于被征地</w:t>
            </w:r>
            <w:r>
              <w:rPr>
                <w:spacing w:val="2"/>
              </w:rPr>
              <w:t xml:space="preserve"> 单位留用地面积</w:t>
            </w:r>
          </w:p>
        </w:tc>
        <w:tc>
          <w:tcPr>
            <w:tcW w:w="1493" w:type="dxa"/>
            <w:vAlign w:val="top"/>
          </w:tcPr>
          <w:p w14:paraId="50C1F744">
            <w:pPr>
              <w:pStyle w:val="7"/>
              <w:spacing w:before="244" w:line="229" w:lineRule="auto"/>
              <w:ind w:left="377" w:right="134" w:hanging="239"/>
            </w:pPr>
            <w:r>
              <w:rPr>
                <w:spacing w:val="1"/>
              </w:rPr>
              <w:t>需计提征地</w:t>
            </w:r>
            <w:r>
              <w:rPr>
                <w:spacing w:val="3"/>
              </w:rPr>
              <w:t xml:space="preserve"> </w:t>
            </w:r>
            <w:r>
              <w:rPr>
                <w:spacing w:val="4"/>
              </w:rPr>
              <w:t>社保费</w:t>
            </w:r>
          </w:p>
        </w:tc>
      </w:tr>
      <w:tr w14:paraId="112C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874" w:type="dxa"/>
            <w:vAlign w:val="top"/>
          </w:tcPr>
          <w:p w14:paraId="3A9F5085">
            <w:pPr>
              <w:pStyle w:val="7"/>
              <w:spacing w:before="264" w:line="219" w:lineRule="auto"/>
              <w:ind w:left="55"/>
            </w:pPr>
            <w:r>
              <w:rPr>
                <w:spacing w:val="-3"/>
              </w:rPr>
              <w:t>新华街</w:t>
            </w:r>
          </w:p>
        </w:tc>
        <w:tc>
          <w:tcPr>
            <w:tcW w:w="2617" w:type="dxa"/>
            <w:vAlign w:val="top"/>
          </w:tcPr>
          <w:p w14:paraId="6CB30F9E">
            <w:pPr>
              <w:pStyle w:val="7"/>
              <w:spacing w:before="262" w:line="219" w:lineRule="auto"/>
              <w:ind w:left="100"/>
            </w:pPr>
            <w:r>
              <w:rPr>
                <w:spacing w:val="1"/>
              </w:rPr>
              <w:t>新街村钟村经济合作社</w:t>
            </w:r>
          </w:p>
        </w:tc>
        <w:tc>
          <w:tcPr>
            <w:tcW w:w="1718" w:type="dxa"/>
            <w:vAlign w:val="top"/>
          </w:tcPr>
          <w:p w14:paraId="0A6CFD1A">
            <w:pPr>
              <w:spacing w:line="244" w:lineRule="auto"/>
              <w:rPr>
                <w:rFonts w:ascii="Arial"/>
                <w:sz w:val="21"/>
              </w:rPr>
            </w:pPr>
          </w:p>
          <w:p w14:paraId="71FE0C5D">
            <w:pPr>
              <w:pStyle w:val="7"/>
              <w:spacing w:before="78" w:line="184" w:lineRule="auto"/>
              <w:ind w:left="433"/>
            </w:pPr>
            <w:r>
              <w:rPr>
                <w:spacing w:val="-4"/>
              </w:rPr>
              <w:t>17.9085</w:t>
            </w:r>
          </w:p>
        </w:tc>
        <w:tc>
          <w:tcPr>
            <w:tcW w:w="1957" w:type="dxa"/>
            <w:vAlign w:val="top"/>
          </w:tcPr>
          <w:p w14:paraId="7C8379A4">
            <w:pPr>
              <w:spacing w:line="246" w:lineRule="auto"/>
              <w:rPr>
                <w:rFonts w:ascii="Arial"/>
                <w:sz w:val="21"/>
              </w:rPr>
            </w:pPr>
          </w:p>
          <w:p w14:paraId="4CA4D878">
            <w:pPr>
              <w:pStyle w:val="7"/>
              <w:spacing w:before="78" w:line="183" w:lineRule="auto"/>
              <w:ind w:left="915"/>
            </w:pPr>
            <w:r>
              <w:t>0</w:t>
            </w:r>
          </w:p>
        </w:tc>
        <w:tc>
          <w:tcPr>
            <w:tcW w:w="1493" w:type="dxa"/>
            <w:vAlign w:val="top"/>
          </w:tcPr>
          <w:p w14:paraId="55CC4B97">
            <w:pPr>
              <w:spacing w:line="246" w:lineRule="auto"/>
              <w:rPr>
                <w:rFonts w:ascii="Arial"/>
                <w:sz w:val="21"/>
              </w:rPr>
            </w:pPr>
          </w:p>
          <w:p w14:paraId="2EB9EBAE">
            <w:pPr>
              <w:pStyle w:val="7"/>
              <w:spacing w:before="78" w:line="183" w:lineRule="auto"/>
              <w:ind w:left="439"/>
            </w:pPr>
            <w:r>
              <w:rPr>
                <w:spacing w:val="-3"/>
              </w:rPr>
              <w:t>38.33</w:t>
            </w:r>
          </w:p>
        </w:tc>
      </w:tr>
      <w:tr w14:paraId="5C5F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3491" w:type="dxa"/>
            <w:gridSpan w:val="2"/>
            <w:vAlign w:val="top"/>
          </w:tcPr>
          <w:p w14:paraId="3C2D4D0C">
            <w:pPr>
              <w:pStyle w:val="7"/>
              <w:spacing w:before="269" w:line="221" w:lineRule="auto"/>
              <w:ind w:left="1494"/>
            </w:pPr>
            <w:r>
              <w:rPr>
                <w:spacing w:val="5"/>
              </w:rPr>
              <w:t>合计</w:t>
            </w:r>
          </w:p>
        </w:tc>
        <w:tc>
          <w:tcPr>
            <w:tcW w:w="1718" w:type="dxa"/>
            <w:vAlign w:val="top"/>
          </w:tcPr>
          <w:p w14:paraId="46D113E4">
            <w:pPr>
              <w:spacing w:line="249" w:lineRule="auto"/>
              <w:rPr>
                <w:rFonts w:ascii="Arial"/>
                <w:sz w:val="21"/>
              </w:rPr>
            </w:pPr>
          </w:p>
          <w:p w14:paraId="7C6ABCF6">
            <w:pPr>
              <w:pStyle w:val="7"/>
              <w:spacing w:before="78" w:line="184" w:lineRule="auto"/>
              <w:ind w:left="433"/>
            </w:pPr>
            <w:r>
              <w:rPr>
                <w:spacing w:val="-4"/>
              </w:rPr>
              <w:t>17.9085</w:t>
            </w:r>
          </w:p>
        </w:tc>
        <w:tc>
          <w:tcPr>
            <w:tcW w:w="1957" w:type="dxa"/>
            <w:vAlign w:val="top"/>
          </w:tcPr>
          <w:p w14:paraId="74661A11">
            <w:pPr>
              <w:spacing w:line="250" w:lineRule="auto"/>
              <w:rPr>
                <w:rFonts w:ascii="Arial"/>
                <w:sz w:val="21"/>
              </w:rPr>
            </w:pPr>
          </w:p>
          <w:p w14:paraId="02C4898B">
            <w:pPr>
              <w:pStyle w:val="7"/>
              <w:spacing w:before="78" w:line="183" w:lineRule="auto"/>
              <w:ind w:left="915"/>
            </w:pPr>
            <w:r>
              <w:t>0</w:t>
            </w:r>
          </w:p>
        </w:tc>
        <w:tc>
          <w:tcPr>
            <w:tcW w:w="1493" w:type="dxa"/>
            <w:vAlign w:val="top"/>
          </w:tcPr>
          <w:p w14:paraId="7AA3FFFD">
            <w:pPr>
              <w:spacing w:line="250" w:lineRule="auto"/>
              <w:rPr>
                <w:rFonts w:ascii="Arial"/>
                <w:sz w:val="21"/>
              </w:rPr>
            </w:pPr>
          </w:p>
          <w:p w14:paraId="7B0D2519">
            <w:pPr>
              <w:pStyle w:val="7"/>
              <w:spacing w:before="78" w:line="183" w:lineRule="auto"/>
              <w:ind w:left="439"/>
            </w:pPr>
            <w:r>
              <w:rPr>
                <w:spacing w:val="-3"/>
              </w:rPr>
              <w:t>38.33</w:t>
            </w:r>
          </w:p>
        </w:tc>
      </w:tr>
    </w:tbl>
    <w:p w14:paraId="7E7B6AC1">
      <w:pPr>
        <w:pStyle w:val="2"/>
        <w:spacing w:before="46" w:line="239" w:lineRule="auto"/>
        <w:ind w:left="50" w:right="186" w:firstLine="30"/>
        <w:jc w:val="both"/>
        <w:rPr>
          <w:spacing w:val="-3"/>
          <w:sz w:val="24"/>
          <w:szCs w:val="24"/>
        </w:rPr>
      </w:pPr>
      <w:r>
        <w:rPr>
          <w:spacing w:val="-3"/>
          <w:sz w:val="24"/>
          <w:szCs w:val="24"/>
        </w:rPr>
        <w:t xml:space="preserve">备注：该项目按2.14万元/亩的标准计提征地社保费，即：按征地补偿安置方案制 定时，花都区平均每亩征收农用地区片综合地价13.33万元/亩的16%。属于农村集 </w:t>
      </w:r>
      <w:r>
        <w:rPr>
          <w:spacing w:val="-3"/>
          <w:sz w:val="24"/>
          <w:szCs w:val="24"/>
        </w:rPr>
        <w:t>体经济组织留用地的，按规定不计提征地社保费。</w:t>
      </w:r>
    </w:p>
    <w:sectPr>
      <w:footerReference r:id="rId7" w:type="default"/>
      <w:pgSz w:w="11910" w:h="16850"/>
      <w:pgMar w:top="1432" w:right="1574" w:bottom="1577" w:left="1499" w:header="0" w:footer="12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5011">
    <w:pPr>
      <w:spacing w:line="177" w:lineRule="auto"/>
      <w:rPr>
        <w:rFonts w:ascii="宋体" w:hAnsi="宋体" w:eastAsia="宋体" w:cs="宋体"/>
        <w:sz w:val="32"/>
        <w:szCs w:val="32"/>
      </w:rPr>
    </w:pPr>
    <w:r>
      <w:rPr>
        <w:rFonts w:ascii="宋体" w:hAnsi="宋体" w:eastAsia="宋体" w:cs="宋体"/>
        <w:spacing w:val="-4"/>
        <w:sz w:val="32"/>
        <w:szCs w:val="3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4A97">
    <w:pPr>
      <w:spacing w:line="177" w:lineRule="auto"/>
      <w:ind w:left="7799"/>
      <w:rPr>
        <w:rFonts w:ascii="宋体" w:hAnsi="宋体" w:eastAsia="宋体" w:cs="宋体"/>
        <w:sz w:val="32"/>
        <w:szCs w:val="32"/>
      </w:rPr>
    </w:pPr>
    <w:r>
      <w:rPr>
        <w:rFonts w:ascii="宋体" w:hAnsi="宋体" w:eastAsia="宋体" w:cs="宋体"/>
        <w:spacing w:val="-4"/>
        <w:sz w:val="32"/>
        <w:szCs w:val="32"/>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8300">
    <w:pPr>
      <w:spacing w:line="177" w:lineRule="auto"/>
      <w:rPr>
        <w:rFonts w:ascii="宋体" w:hAnsi="宋体" w:eastAsia="宋体" w:cs="宋体"/>
        <w:sz w:val="31"/>
        <w:szCs w:val="31"/>
      </w:rPr>
    </w:pPr>
    <w:r>
      <w:rPr>
        <w:rFonts w:ascii="宋体" w:hAnsi="宋体" w:eastAsia="宋体" w:cs="宋体"/>
        <w:spacing w:val="-4"/>
        <w:sz w:val="31"/>
        <w:szCs w:val="31"/>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FhZDdhYjg5N2Y5YzBjZmQxYzQ5ODBhZWQxYzkyYjYifQ=="/>
  </w:docVars>
  <w:rsids>
    <w:rsidRoot w:val="00000000"/>
    <w:rsid w:val="39E03FB4"/>
    <w:rsid w:val="58036EAD"/>
    <w:rsid w:val="639B0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1276</Words>
  <Characters>1374</Characters>
  <TotalTime>15</TotalTime>
  <ScaleCrop>false</ScaleCrop>
  <LinksUpToDate>false</LinksUpToDate>
  <CharactersWithSpaces>1417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2024-10-11T14:32:00Z</dcterms:created>
  <dc:creator>Kingsoft-PDF</dc:creator>
  <cp:lastModifiedBy>KingStorm</cp:lastModifiedBy>
  <dcterms:modified xsi:type="dcterms:W3CDTF">2024-10-11T06:50:22Z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2024-10-11T14:32:06Z</vt:filetime>
  </property>
  <property fmtid="{D5CDD505-2E9C-101B-9397-08002B2CF9AE}" pid="4" name="UsrData">
    <vt:lpwstr>6708c6638c0fc3001f94f80awl</vt:lpwstr>
  </property>
  <property fmtid="{D5CDD505-2E9C-101B-9397-08002B2CF9AE}" pid="5" name="KSOProductBuildVer">
    <vt:lpwstr>2052-12.1.0.18276</vt:lpwstr>
  </property>
  <property fmtid="{D5CDD505-2E9C-101B-9397-08002B2CF9AE}" pid="6" name="ICV">
    <vt:lpwstr>253BB3ADC4E346949B2767B445BCC69A_12</vt:lpwstr>
  </property>
</Properties>
</file>