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63F26">
      <w:pPr>
        <w:tabs>
          <w:tab w:val="left" w:pos="2160"/>
          <w:tab w:val="left" w:pos="2340"/>
          <w:tab w:val="left" w:pos="6480"/>
        </w:tabs>
        <w:autoSpaceDE/>
        <w:autoSpaceDN/>
        <w:spacing w:before="0" w:after="0" w:line="579" w:lineRule="exact"/>
        <w:ind w:left="0" w:right="24" w:rightChars="11"/>
        <w:jc w:val="both"/>
        <w:rPr>
          <w:rFonts w:hint="eastAsia" w:ascii="Times New Roman" w:hAnsi="Times New Roman" w:eastAsia="仿宋_GB2312" w:cs="Times New Roman"/>
          <w:color w:val="auto"/>
          <w:kern w:val="2"/>
          <w:sz w:val="32"/>
          <w:szCs w:val="32"/>
          <w:shd w:val="clear" w:color="auto" w:fill="FFFFFF"/>
          <w:lang w:val="en-US" w:eastAsia="zh-CN"/>
        </w:rPr>
      </w:pPr>
      <w:r>
        <w:rPr>
          <w:rFonts w:hint="eastAsia" w:ascii="Times New Roman" w:hAnsi="Times New Roman" w:eastAsia="仿宋_GB2312" w:cs="Times New Roman"/>
          <w:color w:val="auto"/>
          <w:kern w:val="2"/>
          <w:sz w:val="32"/>
          <w:szCs w:val="32"/>
          <w:shd w:val="clear" w:color="auto" w:fill="FFFFFF"/>
          <w:lang w:val="en-US" w:eastAsia="zh-CN"/>
        </w:rPr>
        <w:t>附件1</w:t>
      </w:r>
    </w:p>
    <w:p w14:paraId="530F2D82">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rPr>
      </w:pPr>
    </w:p>
    <w:p w14:paraId="4F1C3E19">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14:paraId="18959E80">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2024年度第二十七批次</w:t>
      </w:r>
      <w:r>
        <w:rPr>
          <w:rFonts w:hint="default" w:ascii="Times New Roman" w:hAnsi="Times New Roman" w:eastAsia="方正小标宋简体" w:cs="Times New Roman"/>
          <w:color w:val="000000"/>
          <w:sz w:val="44"/>
          <w:szCs w:val="44"/>
          <w:lang w:val="en-US" w:eastAsia="zh-CN"/>
        </w:rPr>
        <w:t>城镇建设用地</w:t>
      </w:r>
    </w:p>
    <w:p w14:paraId="56833F8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spacing w:val="20"/>
          <w:sz w:val="30"/>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14:paraId="32ABB5B1">
      <w:pPr>
        <w:keepNext w:val="0"/>
        <w:keepLines w:val="0"/>
        <w:pageBreakBefore w:val="0"/>
        <w:widowControl w:val="0"/>
        <w:kinsoku/>
        <w:wordWrap/>
        <w:overflowPunct/>
        <w:topLinePunct w:val="0"/>
        <w:autoSpaceDE/>
        <w:autoSpaceDN/>
        <w:bidi w:val="0"/>
        <w:adjustRightInd/>
        <w:snapToGrid/>
        <w:spacing w:before="0" w:after="0" w:line="240" w:lineRule="auto"/>
        <w:ind w:left="0" w:right="0" w:firstLine="420" w:firstLineChars="200"/>
        <w:jc w:val="both"/>
        <w:textAlignment w:val="auto"/>
        <w:rPr>
          <w:rFonts w:hint="default" w:ascii="Times New Roman" w:hAnsi="Times New Roman" w:eastAsia="仿宋_GB2312" w:cs="Times New Roman"/>
          <w:kern w:val="2"/>
          <w:sz w:val="21"/>
          <w:szCs w:val="21"/>
          <w:lang w:val="en-US" w:eastAsia="zh-CN"/>
        </w:rPr>
      </w:pPr>
    </w:p>
    <w:p w14:paraId="76A6A30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为实施中新广州知识城建设规划，完善城市功能，改善城市环境，促进经济、文化发展。我区拟征收广州市黄埔区龙湖街</w:t>
      </w:r>
      <w:r>
        <w:rPr>
          <w:rFonts w:hint="eastAsia" w:ascii="Times New Roman" w:hAnsi="Times New Roman" w:eastAsia="仿宋_GB2312" w:cs="Times New Roman"/>
          <w:kern w:val="2"/>
          <w:sz w:val="32"/>
          <w:szCs w:val="32"/>
          <w:lang w:val="en-US" w:eastAsia="zh-CN"/>
        </w:rPr>
        <w:t>道</w:t>
      </w:r>
      <w:r>
        <w:rPr>
          <w:rFonts w:hint="default" w:ascii="Times New Roman" w:hAnsi="Times New Roman" w:eastAsia="仿宋_GB2312" w:cs="Times New Roman"/>
          <w:color w:val="000000"/>
          <w:kern w:val="0"/>
          <w:sz w:val="32"/>
          <w:szCs w:val="32"/>
          <w:shd w:val="clear" w:color="auto" w:fill="FFFFFF"/>
          <w:lang w:val="en-US" w:eastAsia="zh-CN" w:bidi="ar"/>
        </w:rPr>
        <w:t>何棠下村经济联合社、何棠下村光明经济合作社、何棠下村革命经济合作社、何棠下村红星经济合作社</w:t>
      </w:r>
      <w:r>
        <w:rPr>
          <w:rFonts w:hint="default" w:ascii="Times New Roman" w:hAnsi="Times New Roman" w:eastAsia="仿宋_GB2312" w:cs="Times New Roman"/>
          <w:kern w:val="2"/>
          <w:sz w:val="32"/>
          <w:szCs w:val="32"/>
          <w:lang w:val="en-US" w:eastAsia="zh-CN"/>
        </w:rPr>
        <w:t>属下的集体土地合计</w:t>
      </w:r>
      <w:r>
        <w:rPr>
          <w:rFonts w:hint="eastAsia" w:ascii="Times New Roman" w:hAnsi="Times New Roman" w:eastAsia="仿宋_GB2312" w:cs="Times New Roman"/>
          <w:kern w:val="2"/>
          <w:sz w:val="32"/>
          <w:szCs w:val="32"/>
          <w:lang w:val="en-US" w:eastAsia="zh-CN"/>
        </w:rPr>
        <w:t>3.1269</w:t>
      </w:r>
      <w:r>
        <w:rPr>
          <w:rFonts w:hint="default" w:ascii="Times New Roman" w:hAnsi="Times New Roman" w:eastAsia="仿宋_GB2312" w:cs="Times New Roman"/>
          <w:kern w:val="2"/>
          <w:sz w:val="32"/>
          <w:szCs w:val="32"/>
          <w:lang w:val="en-US" w:eastAsia="zh-CN"/>
        </w:rPr>
        <w:t>公顷。根据《中华人民共和国土地管理法》第二条、第四十五条、第四十七条有关规定精神、</w:t>
      </w:r>
      <w:r>
        <w:rPr>
          <w:rFonts w:hint="default" w:ascii="Times New Roman" w:hAnsi="Times New Roman" w:eastAsia="仿宋_GB2312" w:cs="Times New Roman"/>
          <w:sz w:val="32"/>
          <w:szCs w:val="32"/>
          <w:shd w:val="clear" w:color="auto" w:fill="FFFFFF"/>
          <w:lang w:val="en-US" w:eastAsia="zh-CN"/>
        </w:rPr>
        <w:t>《中华人民共和国土地管理法实施条例》第二十七条、第二十八条，以及《广东省土地管理条例》第三十条等规定，结合我区的征收农用地区片综合地价和实际情况，拟定了征地补偿安置方案，具体如下</w:t>
      </w:r>
      <w:r>
        <w:rPr>
          <w:rFonts w:hint="default" w:ascii="Times New Roman" w:hAnsi="Times New Roman" w:eastAsia="仿宋_GB2312" w:cs="Times New Roman"/>
          <w:sz w:val="32"/>
          <w:szCs w:val="32"/>
        </w:rPr>
        <w:t>：</w:t>
      </w:r>
    </w:p>
    <w:p w14:paraId="0376C59D">
      <w:pPr>
        <w:keepNext w:val="0"/>
        <w:keepLines w:val="0"/>
        <w:pageBreakBefore w:val="0"/>
        <w:widowControl w:val="0"/>
        <w:tabs>
          <w:tab w:val="left" w:pos="2160"/>
          <w:tab w:val="left" w:pos="2340"/>
          <w:tab w:val="left" w:pos="6480"/>
        </w:tabs>
        <w:kinsoku/>
        <w:wordWrap/>
        <w:overflowPunct/>
        <w:topLinePunct w:val="0"/>
        <w:autoSpaceDE/>
        <w:autoSpaceDN/>
        <w:bidi w:val="0"/>
        <w:adjustRightInd/>
        <w:snapToGrid/>
        <w:spacing w:line="600" w:lineRule="exact"/>
        <w:ind w:right="24" w:rightChars="11"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val="en-US" w:eastAsia="zh-CN"/>
        </w:rPr>
        <w:t>范围</w:t>
      </w:r>
    </w:p>
    <w:p w14:paraId="4A0B7BED">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sz w:val="32"/>
          <w:szCs w:val="32"/>
          <w:lang w:val="en-US"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广州市黄埔区</w:t>
      </w:r>
      <w:r>
        <w:rPr>
          <w:rFonts w:hint="eastAsia" w:ascii="Times New Roman" w:hAnsi="Times New Roman" w:eastAsia="仿宋_GB2312" w:cs="Times New Roman"/>
          <w:color w:val="000000"/>
          <w:sz w:val="32"/>
          <w:szCs w:val="32"/>
          <w:lang w:eastAsia="zh-CN" w:bidi="ar"/>
        </w:rPr>
        <w:t>龙湖街道</w:t>
      </w:r>
      <w:r>
        <w:rPr>
          <w:rFonts w:hint="default" w:ascii="Times New Roman" w:hAnsi="Times New Roman" w:eastAsia="仿宋_GB2312" w:cs="Times New Roman"/>
          <w:color w:val="000000"/>
          <w:kern w:val="0"/>
          <w:sz w:val="32"/>
          <w:szCs w:val="32"/>
          <w:shd w:val="clear" w:color="auto" w:fill="FFFFFF"/>
          <w:lang w:val="en-US" w:eastAsia="zh-CN" w:bidi="ar"/>
        </w:rPr>
        <w:t>何棠下村经济联合社、何棠下村光明经济合作社、何棠下村革命经济合作社、何棠下村红星经济合作社</w:t>
      </w:r>
      <w:r>
        <w:rPr>
          <w:rFonts w:hint="eastAsia" w:ascii="Times New Roman" w:hAnsi="Times New Roman" w:eastAsia="仿宋_GB2312" w:cs="Times New Roman"/>
          <w:kern w:val="2"/>
          <w:sz w:val="32"/>
          <w:szCs w:val="32"/>
          <w:lang w:val="en-US" w:eastAsia="zh-CN"/>
        </w:rPr>
        <w:t>范围内，具体位置详见附图。</w:t>
      </w:r>
    </w:p>
    <w:p w14:paraId="3C8FEE38">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实际征收土地范围以最终批准文件为准。</w:t>
      </w:r>
    </w:p>
    <w:p w14:paraId="7116A7F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征收目的</w:t>
      </w:r>
    </w:p>
    <w:p w14:paraId="301A601A">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在土地利用总体规划确定的城镇建设用地范围内，经省级以上人民政府批准由县级以上地方人民政府组织实施的成片开发建设需要用地的。</w:t>
      </w:r>
    </w:p>
    <w:p w14:paraId="6109617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土地现状</w:t>
      </w:r>
    </w:p>
    <w:p w14:paraId="7F1ADE4C">
      <w:pPr>
        <w:spacing w:line="560" w:lineRule="exact"/>
        <w:ind w:firstLine="640" w:firstLineChars="200"/>
        <w:rPr>
          <w:rFonts w:hint="eastAsia" w:eastAsia="仿宋_GB2312"/>
          <w:sz w:val="32"/>
          <w:highlight w:val="none"/>
          <w:lang w:eastAsia="zh-CN"/>
        </w:rPr>
      </w:pPr>
      <w:r>
        <w:rPr>
          <w:rFonts w:eastAsia="仿宋_GB2312"/>
          <w:sz w:val="32"/>
          <w:highlight w:val="none"/>
        </w:rPr>
        <w:t>根据拟征收土地现状调查结果，拟征收土地现状为</w:t>
      </w:r>
    </w:p>
    <w:p w14:paraId="75501A3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949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806"/>
        <w:gridCol w:w="1069"/>
        <w:gridCol w:w="1149"/>
        <w:gridCol w:w="989"/>
        <w:gridCol w:w="1209"/>
        <w:gridCol w:w="1275"/>
      </w:tblGrid>
      <w:tr w14:paraId="6A18C7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tblHeader/>
          <w:jc w:val="center"/>
        </w:trPr>
        <w:tc>
          <w:tcPr>
            <w:tcW w:w="3806" w:type="dxa"/>
            <w:tcBorders>
              <w:tl2br w:val="nil"/>
              <w:tr2bl w:val="nil"/>
            </w:tcBorders>
            <w:noWrap w:val="0"/>
            <w:vAlign w:val="center"/>
          </w:tcPr>
          <w:p w14:paraId="4E9E54D9">
            <w:pPr>
              <w:widowControl/>
              <w:jc w:val="center"/>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被征地单位</w:t>
            </w:r>
          </w:p>
        </w:tc>
        <w:tc>
          <w:tcPr>
            <w:tcW w:w="1069" w:type="dxa"/>
            <w:tcBorders>
              <w:tl2br w:val="nil"/>
              <w:tr2bl w:val="nil"/>
            </w:tcBorders>
            <w:noWrap w:val="0"/>
            <w:vAlign w:val="center"/>
          </w:tcPr>
          <w:p w14:paraId="56B4FE28">
            <w:pPr>
              <w:widowControl/>
              <w:jc w:val="center"/>
              <w:rPr>
                <w:rFonts w:hint="default" w:ascii="Times New Roman" w:hAnsi="Times New Roman" w:eastAsia="仿宋_GB2312" w:cs="Times New Roman"/>
                <w:b/>
                <w:bCs/>
                <w:color w:val="000000"/>
                <w:kern w:val="0"/>
                <w:sz w:val="24"/>
                <w:szCs w:val="24"/>
                <w:lang w:eastAsia="zh-CN"/>
              </w:rPr>
            </w:pPr>
            <w:r>
              <w:rPr>
                <w:rFonts w:hint="default" w:ascii="Times New Roman" w:hAnsi="Times New Roman" w:eastAsia="仿宋_GB2312" w:cs="Times New Roman"/>
                <w:b/>
                <w:bCs/>
                <w:color w:val="000000"/>
                <w:kern w:val="0"/>
                <w:sz w:val="24"/>
                <w:szCs w:val="24"/>
                <w:lang w:eastAsia="zh-CN"/>
              </w:rPr>
              <w:t>总面积</w:t>
            </w:r>
          </w:p>
        </w:tc>
        <w:tc>
          <w:tcPr>
            <w:tcW w:w="1149" w:type="dxa"/>
            <w:tcBorders>
              <w:tl2br w:val="nil"/>
              <w:tr2bl w:val="nil"/>
            </w:tcBorders>
            <w:noWrap w:val="0"/>
            <w:vAlign w:val="center"/>
          </w:tcPr>
          <w:p w14:paraId="6FE37A99">
            <w:pPr>
              <w:widowControl/>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lang w:val="en-US" w:eastAsia="zh-CN"/>
              </w:rPr>
              <w:t>农用地面积</w:t>
            </w:r>
          </w:p>
        </w:tc>
        <w:tc>
          <w:tcPr>
            <w:tcW w:w="989" w:type="dxa"/>
            <w:tcBorders>
              <w:tl2br w:val="nil"/>
              <w:tr2bl w:val="nil"/>
            </w:tcBorders>
            <w:noWrap w:val="0"/>
            <w:vAlign w:val="center"/>
          </w:tcPr>
          <w:p w14:paraId="22B35AAA">
            <w:pPr>
              <w:widowControl/>
              <w:jc w:val="center"/>
              <w:rPr>
                <w:rFonts w:hint="default" w:ascii="Times New Roman" w:hAnsi="Times New Roman" w:eastAsia="仿宋_GB2312" w:cs="Times New Roman"/>
                <w:b/>
                <w:bCs/>
                <w:color w:val="000000"/>
                <w:kern w:val="0"/>
                <w:sz w:val="24"/>
                <w:szCs w:val="24"/>
                <w:lang w:val="en-US" w:eastAsia="zh-CN"/>
              </w:rPr>
            </w:pPr>
            <w:r>
              <w:rPr>
                <w:rFonts w:hint="default" w:ascii="Times New Roman" w:hAnsi="Times New Roman" w:eastAsia="仿宋_GB2312" w:cs="Times New Roman"/>
                <w:b/>
                <w:bCs/>
                <w:color w:val="000000"/>
                <w:kern w:val="0"/>
                <w:sz w:val="24"/>
                <w:szCs w:val="24"/>
                <w:lang w:val="en-US" w:eastAsia="zh-CN"/>
              </w:rPr>
              <w:t>耕地</w:t>
            </w:r>
          </w:p>
          <w:p w14:paraId="1349E21D">
            <w:pPr>
              <w:widowControl/>
              <w:jc w:val="center"/>
              <w:rPr>
                <w:rFonts w:hint="default" w:ascii="Times New Roman" w:hAnsi="Times New Roman" w:eastAsia="仿宋_GB2312" w:cs="Times New Roman"/>
                <w:b/>
                <w:bCs/>
                <w:color w:val="000000"/>
                <w:kern w:val="0"/>
                <w:sz w:val="24"/>
                <w:szCs w:val="24"/>
                <w:lang w:val="en-US"/>
              </w:rPr>
            </w:pPr>
            <w:r>
              <w:rPr>
                <w:rFonts w:hint="default" w:ascii="Times New Roman" w:hAnsi="Times New Roman" w:eastAsia="仿宋_GB2312" w:cs="Times New Roman"/>
                <w:b/>
                <w:bCs/>
                <w:color w:val="000000"/>
                <w:kern w:val="0"/>
                <w:sz w:val="24"/>
                <w:szCs w:val="24"/>
                <w:lang w:val="en-US" w:eastAsia="zh-CN"/>
              </w:rPr>
              <w:t>面积</w:t>
            </w:r>
          </w:p>
        </w:tc>
        <w:tc>
          <w:tcPr>
            <w:tcW w:w="1209" w:type="dxa"/>
            <w:tcBorders>
              <w:tl2br w:val="nil"/>
              <w:tr2bl w:val="nil"/>
            </w:tcBorders>
            <w:noWrap w:val="0"/>
            <w:vAlign w:val="center"/>
          </w:tcPr>
          <w:p w14:paraId="07A51DBD">
            <w:pPr>
              <w:widowControl/>
              <w:jc w:val="center"/>
              <w:rPr>
                <w:rFonts w:hint="default" w:ascii="Times New Roman" w:hAnsi="Times New Roman" w:eastAsia="仿宋_GB2312" w:cs="Times New Roman"/>
                <w:b/>
                <w:bCs/>
                <w:color w:val="000000"/>
                <w:kern w:val="0"/>
                <w:sz w:val="24"/>
                <w:szCs w:val="24"/>
              </w:rPr>
            </w:pPr>
            <w:r>
              <w:rPr>
                <w:rFonts w:hint="default" w:ascii="Times New Roman" w:hAnsi="Times New Roman" w:eastAsia="仿宋_GB2312" w:cs="Times New Roman"/>
                <w:b/>
                <w:bCs/>
                <w:color w:val="000000"/>
                <w:kern w:val="0"/>
                <w:sz w:val="24"/>
                <w:szCs w:val="24"/>
                <w:lang w:val="en-US" w:eastAsia="zh-CN"/>
              </w:rPr>
              <w:t>建设用地面积</w:t>
            </w:r>
          </w:p>
        </w:tc>
        <w:tc>
          <w:tcPr>
            <w:tcW w:w="1275" w:type="dxa"/>
            <w:tcBorders>
              <w:tl2br w:val="nil"/>
              <w:tr2bl w:val="nil"/>
            </w:tcBorders>
            <w:noWrap w:val="0"/>
            <w:vAlign w:val="center"/>
          </w:tcPr>
          <w:p w14:paraId="57045A4F">
            <w:pPr>
              <w:widowControl/>
              <w:jc w:val="center"/>
              <w:rPr>
                <w:rFonts w:hint="default" w:ascii="Times New Roman" w:hAnsi="Times New Roman" w:eastAsia="仿宋_GB2312" w:cs="Times New Roman"/>
                <w:b/>
                <w:bCs/>
                <w:color w:val="000000"/>
                <w:kern w:val="0"/>
                <w:sz w:val="24"/>
                <w:szCs w:val="24"/>
                <w:lang w:val="en-US"/>
              </w:rPr>
            </w:pPr>
            <w:r>
              <w:rPr>
                <w:rFonts w:hint="default" w:ascii="Times New Roman" w:hAnsi="Times New Roman" w:eastAsia="仿宋_GB2312" w:cs="Times New Roman"/>
                <w:b/>
                <w:bCs/>
                <w:color w:val="000000"/>
                <w:kern w:val="0"/>
                <w:sz w:val="24"/>
                <w:szCs w:val="24"/>
                <w:lang w:val="en-US" w:eastAsia="zh-CN"/>
              </w:rPr>
              <w:t>未利用地面积</w:t>
            </w:r>
          </w:p>
        </w:tc>
      </w:tr>
      <w:tr w14:paraId="77B12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3806" w:type="dxa"/>
            <w:tcBorders>
              <w:tl2br w:val="nil"/>
              <w:tr2bl w:val="nil"/>
            </w:tcBorders>
            <w:noWrap w:val="0"/>
            <w:vAlign w:val="center"/>
          </w:tcPr>
          <w:p w14:paraId="7E6F84F6">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仿宋_GB2312" w:hAnsi="仿宋_GB2312" w:eastAsia="仿宋_GB2312" w:cs="仿宋_GB2312"/>
                <w:sz w:val="24"/>
                <w:szCs w:val="24"/>
                <w:lang w:val="en-US" w:eastAsia="zh-CN"/>
              </w:rPr>
              <w:t>龙湖街何棠下村经济联合社</w:t>
            </w:r>
          </w:p>
        </w:tc>
        <w:tc>
          <w:tcPr>
            <w:tcW w:w="1069" w:type="dxa"/>
            <w:tcBorders>
              <w:tl2br w:val="nil"/>
              <w:tr2bl w:val="nil"/>
            </w:tcBorders>
            <w:noWrap w:val="0"/>
            <w:vAlign w:val="center"/>
          </w:tcPr>
          <w:p w14:paraId="64FC33CA">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2.2344</w:t>
            </w:r>
          </w:p>
        </w:tc>
        <w:tc>
          <w:tcPr>
            <w:tcW w:w="1149" w:type="dxa"/>
            <w:tcBorders>
              <w:tl2br w:val="nil"/>
              <w:tr2bl w:val="nil"/>
            </w:tcBorders>
            <w:noWrap w:val="0"/>
            <w:vAlign w:val="center"/>
          </w:tcPr>
          <w:p w14:paraId="251D0C1C">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1.3076</w:t>
            </w:r>
          </w:p>
        </w:tc>
        <w:tc>
          <w:tcPr>
            <w:tcW w:w="989" w:type="dxa"/>
            <w:tcBorders>
              <w:tl2br w:val="nil"/>
              <w:tr2bl w:val="nil"/>
            </w:tcBorders>
            <w:noWrap w:val="0"/>
            <w:vAlign w:val="center"/>
          </w:tcPr>
          <w:p w14:paraId="198D550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1209" w:type="dxa"/>
            <w:tcBorders>
              <w:tl2br w:val="nil"/>
              <w:tr2bl w:val="nil"/>
            </w:tcBorders>
            <w:noWrap w:val="0"/>
            <w:vAlign w:val="center"/>
          </w:tcPr>
          <w:p w14:paraId="09B8A102">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0.9268</w:t>
            </w:r>
          </w:p>
        </w:tc>
        <w:tc>
          <w:tcPr>
            <w:tcW w:w="1275" w:type="dxa"/>
            <w:tcBorders>
              <w:tl2br w:val="nil"/>
              <w:tr2bl w:val="nil"/>
            </w:tcBorders>
            <w:noWrap w:val="0"/>
            <w:vAlign w:val="center"/>
          </w:tcPr>
          <w:p w14:paraId="770323B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4A24B2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DAF4193">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龙湖街何棠下村光明经济合作社</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3297EACD">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0.4974</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5D484C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0.1105</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A6A93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0.0296</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3A94B2B8">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0.3869</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726AA2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3CD6A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745C4EE">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龙湖街何棠下村革命经济合作社</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B04328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0.2204</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D382A45">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16AE10F">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01143C4">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0.2204</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C365A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56BE74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6"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7D304442">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sz w:val="24"/>
                <w:szCs w:val="24"/>
                <w:lang w:val="en-US" w:eastAsia="zh-CN"/>
              </w:rPr>
              <w:t>龙湖街何棠下村红星经济合作社</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7C6450F2">
            <w:pPr>
              <w:keepNext w:val="0"/>
              <w:keepLines w:val="0"/>
              <w:widowControl/>
              <w:suppressLineNumbers w:val="0"/>
              <w:ind w:left="0" w:leftChars="0" w:right="0" w:rightChars="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0.1747</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CDB20FA">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0.0644</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8919520">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9044AEB">
            <w:pPr>
              <w:keepNext w:val="0"/>
              <w:keepLines w:val="0"/>
              <w:widowControl/>
              <w:suppressLineNumbers w:val="0"/>
              <w:ind w:left="0" w:leftChars="0" w:right="0" w:rightChars="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0.1103</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6A8332D6">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Times New Roman" w:hAnsi="Times New Roman" w:eastAsia="仿宋_GB2312" w:cs="Times New Roman"/>
                <w:i w:val="0"/>
                <w:color w:val="000000"/>
                <w:kern w:val="0"/>
                <w:sz w:val="24"/>
                <w:szCs w:val="24"/>
                <w:u w:val="none"/>
                <w:lang w:val="en-US" w:eastAsia="zh-CN" w:bidi="ar"/>
              </w:rPr>
              <w:t>0.0000</w:t>
            </w:r>
          </w:p>
        </w:tc>
      </w:tr>
      <w:tr w14:paraId="51ADD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1" w:hRule="atLeast"/>
          <w:jc w:val="center"/>
        </w:trPr>
        <w:tc>
          <w:tcPr>
            <w:tcW w:w="3806" w:type="dxa"/>
            <w:tcBorders>
              <w:top w:val="single" w:color="auto" w:sz="8" w:space="0"/>
              <w:left w:val="single" w:color="auto" w:sz="8" w:space="0"/>
              <w:bottom w:val="single" w:color="auto" w:sz="8" w:space="0"/>
              <w:right w:val="single" w:color="auto" w:sz="8" w:space="0"/>
              <w:tl2br w:val="nil"/>
              <w:tr2bl w:val="nil"/>
            </w:tcBorders>
            <w:noWrap w:val="0"/>
            <w:vAlign w:val="center"/>
          </w:tcPr>
          <w:p w14:paraId="0F9CB959">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106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28EC62B3">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3.1269</w:t>
            </w:r>
          </w:p>
        </w:tc>
        <w:tc>
          <w:tcPr>
            <w:tcW w:w="114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6C5173B">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1.4825</w:t>
            </w:r>
          </w:p>
        </w:tc>
        <w:tc>
          <w:tcPr>
            <w:tcW w:w="98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441BB949">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iCs w:val="0"/>
                <w:color w:val="000000"/>
                <w:kern w:val="0"/>
                <w:sz w:val="24"/>
                <w:szCs w:val="24"/>
                <w:u w:val="none"/>
                <w:lang w:val="en-US" w:eastAsia="zh-CN" w:bidi="ar"/>
              </w:rPr>
              <w:t>0.0296</w:t>
            </w:r>
          </w:p>
        </w:tc>
        <w:tc>
          <w:tcPr>
            <w:tcW w:w="1209" w:type="dxa"/>
            <w:tcBorders>
              <w:top w:val="single" w:color="auto" w:sz="8" w:space="0"/>
              <w:left w:val="single" w:color="auto" w:sz="8" w:space="0"/>
              <w:bottom w:val="single" w:color="auto" w:sz="8" w:space="0"/>
              <w:right w:val="single" w:color="auto" w:sz="8" w:space="0"/>
              <w:tl2br w:val="nil"/>
              <w:tr2bl w:val="nil"/>
            </w:tcBorders>
            <w:noWrap w:val="0"/>
            <w:vAlign w:val="center"/>
          </w:tcPr>
          <w:p w14:paraId="5CB372AC">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color w:val="000000"/>
                <w:kern w:val="0"/>
                <w:sz w:val="24"/>
                <w:szCs w:val="24"/>
                <w:u w:val="none"/>
                <w:lang w:val="en-US" w:eastAsia="zh-CN" w:bidi="ar"/>
              </w:rPr>
            </w:pPr>
            <w:r>
              <w:rPr>
                <w:rFonts w:hint="eastAsia" w:ascii="Times New Roman" w:hAnsi="Times New Roman" w:eastAsia="仿宋_GB2312" w:cs="Times New Roman"/>
                <w:b/>
                <w:bCs/>
                <w:i w:val="0"/>
                <w:color w:val="000000"/>
                <w:kern w:val="0"/>
                <w:sz w:val="24"/>
                <w:szCs w:val="24"/>
                <w:u w:val="none"/>
                <w:lang w:val="en-US" w:eastAsia="zh-CN" w:bidi="ar"/>
              </w:rPr>
              <w:t>1.6444</w:t>
            </w:r>
          </w:p>
        </w:tc>
        <w:tc>
          <w:tcPr>
            <w:tcW w:w="1275" w:type="dxa"/>
            <w:tcBorders>
              <w:top w:val="single" w:color="auto" w:sz="8" w:space="0"/>
              <w:left w:val="single" w:color="auto" w:sz="8" w:space="0"/>
              <w:bottom w:val="single" w:color="auto" w:sz="8" w:space="0"/>
              <w:right w:val="single" w:color="auto" w:sz="8" w:space="0"/>
              <w:tl2br w:val="nil"/>
              <w:tr2bl w:val="nil"/>
            </w:tcBorders>
            <w:noWrap w:val="0"/>
            <w:vAlign w:val="center"/>
          </w:tcPr>
          <w:p w14:paraId="1A4A8600">
            <w:pPr>
              <w:keepNext w:val="0"/>
              <w:keepLines w:val="0"/>
              <w:widowControl/>
              <w:suppressLineNumbers w:val="0"/>
              <w:ind w:left="0" w:leftChars="0" w:right="0" w:rightChars="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eastAsia="仿宋_GB2312" w:cs="Times New Roman"/>
                <w:b/>
                <w:bCs/>
                <w:i w:val="0"/>
                <w:color w:val="000000"/>
                <w:kern w:val="0"/>
                <w:sz w:val="24"/>
                <w:szCs w:val="24"/>
                <w:u w:val="none"/>
                <w:lang w:val="en-US" w:eastAsia="zh-CN" w:bidi="ar"/>
              </w:rPr>
              <w:t>0.0000</w:t>
            </w:r>
          </w:p>
        </w:tc>
      </w:tr>
    </w:tbl>
    <w:p w14:paraId="7737AA7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征地方式和标准</w:t>
      </w:r>
    </w:p>
    <w:p w14:paraId="32EE518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（一）土地补偿费和安置补助费标准</w:t>
      </w:r>
    </w:p>
    <w:p w14:paraId="4009BE6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根据《广东省自然资源厅关于广州市征收农用地区片综合地价成果的批复》（粤自然资函〔20</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lang w:val="en-US" w:eastAsia="zh-CN"/>
        </w:rPr>
        <w:t>号）的规定</w:t>
      </w:r>
      <w:r>
        <w:rPr>
          <w:rFonts w:hint="eastAsia" w:ascii="Times New Roman" w:hAnsi="Times New Roman" w:eastAsia="仿宋_GB2312" w:cs="Times New Roman"/>
          <w:sz w:val="32"/>
          <w:szCs w:val="32"/>
          <w:lang w:val="en-US" w:eastAsia="zh-CN"/>
        </w:rPr>
        <w:t>，土地补偿标准为70.2万元/公顷，安置补助标准为124.8万元/公顷</w:t>
      </w:r>
      <w:r>
        <w:rPr>
          <w:rFonts w:hint="default" w:ascii="Times New Roman" w:hAnsi="Times New Roman" w:eastAsia="仿宋_GB2312" w:cs="Times New Roman"/>
          <w:sz w:val="32"/>
          <w:szCs w:val="32"/>
          <w:lang w:val="en-US" w:eastAsia="zh-CN"/>
        </w:rPr>
        <w:t>。</w:t>
      </w:r>
    </w:p>
    <w:p w14:paraId="7C7E6045">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（二）农村村民住宅补偿</w:t>
      </w:r>
    </w:p>
    <w:p w14:paraId="5927B3CE">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征地范围内的农村村民住宅按黄埔区政府有关规定进行补偿。</w:t>
      </w:r>
    </w:p>
    <w:p w14:paraId="51E36EDB">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（三）青苗及其他地上附着物补偿</w:t>
      </w:r>
    </w:p>
    <w:p w14:paraId="1EB7346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征地范围内的青苗补偿费和附着物补偿费按黄埔区政府有关规定进行补偿。</w:t>
      </w:r>
    </w:p>
    <w:p w14:paraId="4964D47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安置对象</w:t>
      </w:r>
    </w:p>
    <w:p w14:paraId="24373446">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214D85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sz w:val="32"/>
          <w:szCs w:val="32"/>
          <w:lang w:val="en-US" w:eastAsia="zh-CN" w:bidi="ar"/>
        </w:rPr>
      </w:pPr>
      <w:r>
        <w:rPr>
          <w:rFonts w:hint="eastAsia" w:ascii="黑体" w:hAnsi="黑体" w:eastAsia="黑体" w:cs="黑体"/>
          <w:color w:val="000000"/>
          <w:sz w:val="32"/>
          <w:szCs w:val="32"/>
          <w:lang w:val="en-US" w:eastAsia="zh-CN" w:bidi="ar"/>
        </w:rPr>
        <w:t>安置方式和社会保障</w:t>
      </w:r>
    </w:p>
    <w:p w14:paraId="2857E771">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（一）货币安置。该批次用地为村经济发展留用地，未发生实际的征地补偿费用。</w:t>
      </w:r>
    </w:p>
    <w:p w14:paraId="61325490">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（二）留用地安置。该批次为广州市黄埔区龙湖街</w:t>
      </w:r>
      <w:r>
        <w:rPr>
          <w:rFonts w:hint="eastAsia" w:ascii="Times New Roman" w:hAnsi="Times New Roman" w:eastAsia="仿宋_GB2312" w:cs="Times New Roman"/>
          <w:sz w:val="32"/>
          <w:szCs w:val="32"/>
          <w:lang w:val="en-US" w:eastAsia="zh-CN"/>
        </w:rPr>
        <w:t>何棠下村</w:t>
      </w:r>
      <w:bookmarkStart w:id="0" w:name="_GoBack"/>
      <w:bookmarkEnd w:id="0"/>
      <w:r>
        <w:rPr>
          <w:rFonts w:hint="default" w:ascii="Times New Roman" w:hAnsi="Times New Roman" w:eastAsia="仿宋_GB2312" w:cs="Times New Roman"/>
          <w:sz w:val="32"/>
          <w:szCs w:val="32"/>
          <w:lang w:val="en-US" w:eastAsia="zh-CN"/>
        </w:rPr>
        <w:t>留用地项目，使用留用地指标办理农用地转用和征收手续，按照《广东省人民政府办公厅关于加强征收农村集体土地留用地安置管理工作的意见》（粤府办〔2016〕30号）的相关规定，不需再安排留用地。</w:t>
      </w:r>
    </w:p>
    <w:p w14:paraId="0BDA30BA">
      <w:pPr>
        <w:keepNext w:val="0"/>
        <w:keepLines w:val="0"/>
        <w:pageBreakBefore w:val="0"/>
        <w:widowControl w:val="0"/>
        <w:kinsoku/>
        <w:wordWrap/>
        <w:overflowPunct/>
        <w:topLinePunct w:val="0"/>
        <w:autoSpaceDE/>
        <w:autoSpaceDN/>
        <w:bidi w:val="0"/>
        <w:adjustRightInd/>
        <w:snapToGrid/>
        <w:spacing w:before="0" w:after="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（三）社会保障费用。根据《广东省人民政府办公厅转发省人力资源社会保障厅关于进一步完善我省被征地农民养老保障政策意见的通知》（粤府办〔2021〕22号）规定，该项目不需计提社保资金。</w:t>
      </w:r>
    </w:p>
    <w:tbl>
      <w:tblPr>
        <w:tblStyle w:val="5"/>
        <w:tblpPr w:leftFromText="180" w:rightFromText="180" w:vertAnchor="text" w:horzAnchor="page" w:tblpX="1155" w:tblpY="1081"/>
        <w:tblOverlap w:val="never"/>
        <w:tblW w:w="9781" w:type="dxa"/>
        <w:tblInd w:w="0" w:type="dxa"/>
        <w:tblLayout w:type="autofit"/>
        <w:tblCellMar>
          <w:top w:w="0" w:type="dxa"/>
          <w:left w:w="108" w:type="dxa"/>
          <w:bottom w:w="0" w:type="dxa"/>
          <w:right w:w="108" w:type="dxa"/>
        </w:tblCellMar>
      </w:tblPr>
      <w:tblGrid>
        <w:gridCol w:w="4536"/>
        <w:gridCol w:w="5245"/>
      </w:tblGrid>
      <w:tr w14:paraId="4E57C95E">
        <w:tblPrEx>
          <w:tblCellMar>
            <w:top w:w="0" w:type="dxa"/>
            <w:left w:w="108" w:type="dxa"/>
            <w:bottom w:w="0" w:type="dxa"/>
            <w:right w:w="108" w:type="dxa"/>
          </w:tblCellMar>
        </w:tblPrEx>
        <w:trPr>
          <w:trHeight w:val="936" w:hRule="atLeast"/>
        </w:trPr>
        <w:tc>
          <w:tcPr>
            <w:tcW w:w="4536" w:type="dxa"/>
            <w:noWrap w:val="0"/>
            <w:vAlign w:val="top"/>
          </w:tcPr>
          <w:p w14:paraId="74484FE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eastAsia="仿宋_GB2312"/>
                <w:sz w:val="32"/>
                <w:szCs w:val="32"/>
              </w:rPr>
              <w:t>广州开发区规划和自然资源局</w:t>
            </w:r>
          </w:p>
        </w:tc>
        <w:tc>
          <w:tcPr>
            <w:tcW w:w="5245" w:type="dxa"/>
            <w:noWrap w:val="0"/>
            <w:vAlign w:val="top"/>
          </w:tcPr>
          <w:p w14:paraId="2C13F09E">
            <w:pPr>
              <w:keepNext w:val="0"/>
              <w:keepLines w:val="0"/>
              <w:pageBreakBefore w:val="0"/>
              <w:widowControl w:val="0"/>
              <w:tabs>
                <w:tab w:val="left" w:pos="4826"/>
              </w:tabs>
              <w:kinsoku/>
              <w:wordWrap/>
              <w:overflowPunct/>
              <w:topLinePunct w:val="0"/>
              <w:autoSpaceDE/>
              <w:autoSpaceDN/>
              <w:bidi w:val="0"/>
              <w:adjustRightInd/>
              <w:snapToGrid/>
              <w:spacing w:line="600" w:lineRule="exact"/>
              <w:ind w:right="-654"/>
              <w:textAlignment w:val="auto"/>
              <w:rPr>
                <w:rFonts w:hint="eastAsia" w:eastAsia="仿宋_GB2312"/>
                <w:sz w:val="32"/>
                <w:szCs w:val="32"/>
              </w:rPr>
            </w:pPr>
            <w:r>
              <w:rPr>
                <w:rFonts w:hint="eastAsia" w:eastAsia="仿宋_GB2312"/>
                <w:sz w:val="32"/>
                <w:szCs w:val="32"/>
              </w:rPr>
              <w:t>广州市规划和自然资源局黄埔区分局</w:t>
            </w:r>
          </w:p>
          <w:p w14:paraId="1440E2CB">
            <w:pPr>
              <w:keepNext w:val="0"/>
              <w:keepLines w:val="0"/>
              <w:pageBreakBefore w:val="0"/>
              <w:widowControl w:val="0"/>
              <w:tabs>
                <w:tab w:val="left" w:pos="4712"/>
              </w:tabs>
              <w:kinsoku/>
              <w:wordWrap/>
              <w:overflowPunct/>
              <w:topLinePunct w:val="0"/>
              <w:autoSpaceDE/>
              <w:autoSpaceDN/>
              <w:bidi w:val="0"/>
              <w:adjustRightInd/>
              <w:snapToGrid/>
              <w:spacing w:line="600" w:lineRule="exact"/>
              <w:ind w:right="-108"/>
              <w:jc w:val="center"/>
              <w:textAlignment w:val="auto"/>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24年9月18</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14:paraId="098E9836">
      <w:pPr>
        <w:spacing w:before="318" w:line="355" w:lineRule="auto"/>
        <w:ind w:left="385" w:right="714" w:firstLine="675"/>
        <w:jc w:val="both"/>
        <w:rPr>
          <w:rFonts w:ascii="仿宋" w:hAnsi="仿宋" w:eastAsia="仿宋" w:cs="仿宋"/>
          <w:spacing w:val="1"/>
          <w:w w:val="99"/>
          <w:sz w:val="32"/>
          <w:szCs w:val="32"/>
          <w:lang w:val="en-US" w:eastAsia="zh-CN" w:bidi="ar-SA"/>
        </w:rPr>
      </w:pPr>
    </w:p>
    <w:p w14:paraId="2A0ACBC6">
      <w:pPr>
        <w:spacing w:after="0"/>
        <w:jc w:val="right"/>
        <w:rPr>
          <w:rFonts w:ascii="Times New Roman" w:hAnsi="Times New Roman"/>
          <w:sz w:val="28"/>
        </w:rPr>
        <w:sectPr>
          <w:footerReference r:id="rId5" w:type="default"/>
          <w:footerReference r:id="rId6" w:type="even"/>
          <w:type w:val="continuous"/>
          <w:pgSz w:w="11910" w:h="16840"/>
          <w:pgMar w:top="1400" w:right="1060" w:bottom="1180" w:left="1360" w:header="0" w:footer="0" w:gutter="0"/>
          <w:cols w:space="720" w:num="1"/>
        </w:sectPr>
      </w:pPr>
    </w:p>
    <w:p w14:paraId="4051F143">
      <w:pPr>
        <w:pStyle w:val="3"/>
        <w:spacing w:before="3"/>
        <w:rPr>
          <w:rFonts w:ascii="Times New Roman"/>
          <w:sz w:val="12"/>
        </w:rPr>
      </w:pPr>
    </w:p>
    <w:p w14:paraId="04A2FD92">
      <w:pPr>
        <w:spacing w:before="69" w:line="384" w:lineRule="auto"/>
        <w:ind w:left="1009" w:right="4349" w:hanging="445"/>
        <w:jc w:val="left"/>
        <w:rPr>
          <w:rFonts w:hint="eastAsia" w:eastAsia="宋体"/>
          <w:sz w:val="22"/>
          <w:lang w:eastAsia="zh-CN"/>
        </w:rPr>
      </w:pPr>
    </w:p>
    <w:sectPr>
      <w:footerReference r:id="rId7" w:type="default"/>
      <w:footerReference r:id="rId8" w:type="even"/>
      <w:type w:val="continuous"/>
      <w:pgSz w:w="11910" w:h="16840"/>
      <w:pgMar w:top="2420" w:right="1180" w:bottom="1360" w:left="1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5E4F">
    <w:pPr>
      <w:pStyle w:val="3"/>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3E4D8">
    <w:pPr>
      <w:pStyle w:val="3"/>
      <w:spacing w:line="14" w:lineRule="auto"/>
      <w:rPr>
        <w:sz w:val="20"/>
      </w:rPr>
    </w:pPr>
    <w:r>
      <w:pict>
        <v:shape id="docshape4" o:spid="_x0000_s4100" o:spt="202" type="#_x0000_t202" style="position:absolute;left:0pt;margin-left:72.65pt;margin-top:782.3pt;height:16.05pt;width:16.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1A8A648">
                <w:pPr>
                  <w:spacing w:before="0" w:line="321" w:lineRule="exact"/>
                  <w:ind w:left="20" w:right="0" w:firstLine="0"/>
                  <w:jc w:val="left"/>
                  <w:rPr>
                    <w:sz w:val="28"/>
                  </w:rPr>
                </w:pPr>
                <w:r>
                  <w:rPr>
                    <w:w w:val="100"/>
                    <w:sz w:val="28"/>
                  </w:rPr>
                  <w:t>—</w:t>
                </w:r>
              </w:p>
            </w:txbxContent>
          </v:textbox>
        </v:shape>
      </w:pict>
    </w:r>
    <w:r>
      <w:pict>
        <v:shape id="docshape5" o:spid="_x0000_s4101" o:spt="202" type="#_x0000_t202" style="position:absolute;left:0pt;margin-left:91.65pt;margin-top:781.75pt;height:17.6pt;width:14.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75391E0">
                <w:pPr>
                  <w:spacing w:before="9"/>
                  <w:ind w:left="60" w:right="0" w:firstLine="0"/>
                  <w:jc w:val="left"/>
                  <w:rPr>
                    <w:rFonts w:ascii="Times New Roman"/>
                    <w:sz w:val="28"/>
                  </w:rPr>
                </w:pPr>
                <w:r>
                  <w:rPr>
                    <w:rFonts w:ascii="Times New Roman"/>
                    <w:w w:val="100"/>
                    <w:sz w:val="28"/>
                  </w:rPr>
                  <w:fldChar w:fldCharType="begin"/>
                </w:r>
                <w:r>
                  <w:rPr>
                    <w:rFonts w:ascii="Times New Roman"/>
                    <w:w w:val="100"/>
                    <w:sz w:val="28"/>
                  </w:rPr>
                  <w:instrText xml:space="preserve"> PAGE </w:instrText>
                </w:r>
                <w:r>
                  <w:rPr>
                    <w:rFonts w:ascii="Times New Roman"/>
                    <w:w w:val="100"/>
                    <w:sz w:val="28"/>
                  </w:rPr>
                  <w:fldChar w:fldCharType="separate"/>
                </w:r>
                <w:r>
                  <w:rPr>
                    <w:rFonts w:ascii="Times New Roman"/>
                    <w:w w:val="100"/>
                    <w:sz w:val="28"/>
                  </w:rPr>
                  <w:t>2</w:t>
                </w:r>
                <w:r>
                  <w:rPr>
                    <w:rFonts w:ascii="Times New Roman"/>
                    <w:w w:val="100"/>
                    <w:sz w:val="28"/>
                  </w:rPr>
                  <w:fldChar w:fldCharType="end"/>
                </w:r>
              </w:p>
            </w:txbxContent>
          </v:textbox>
        </v:shape>
      </w:pict>
    </w:r>
    <w:r>
      <w:pict>
        <v:shape id="docshape6" o:spid="_x0000_s4102" o:spt="202" type="#_x0000_t202" style="position:absolute;left:0pt;margin-left:107.7pt;margin-top:782.3pt;height:16.05pt;width:16.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0CB085E">
                <w:pPr>
                  <w:spacing w:before="0" w:line="321" w:lineRule="exact"/>
                  <w:ind w:left="20" w:right="0" w:firstLine="0"/>
                  <w:jc w:val="left"/>
                  <w:rPr>
                    <w:sz w:val="28"/>
                  </w:rPr>
                </w:pPr>
                <w:r>
                  <w:rPr>
                    <w:w w:val="100"/>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70917">
    <w:pPr>
      <w:pStyle w:val="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E423">
    <w:pPr>
      <w:pStyle w:val="3"/>
      <w:spacing w:line="14" w:lineRule="auto"/>
      <w:rPr>
        <w:sz w:val="20"/>
      </w:rPr>
    </w:pPr>
    <w:r>
      <w:pict>
        <v:shape id="docshape81" o:spid="_x0000_s4104" o:spt="202" type="#_x0000_t202" style="position:absolute;left:0pt;margin-left:71.5pt;margin-top:535.25pt;height:17.55pt;width:4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4070095D">
                <w:pPr>
                  <w:spacing w:before="8"/>
                  <w:ind w:left="20" w:right="0" w:firstLine="0"/>
                  <w:jc w:val="left"/>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8</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5F1B0"/>
    <w:multiLevelType w:val="singleLevel"/>
    <w:tmpl w:val="3195F1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3ZjA0MDE0MGFiNDljZTg3OTg2NWM1MDIzM2E2N2QifQ=="/>
  </w:docVars>
  <w:rsids>
    <w:rsidRoot w:val="00000000"/>
    <w:rsid w:val="098D1513"/>
    <w:rsid w:val="191E3975"/>
    <w:rsid w:val="23494580"/>
    <w:rsid w:val="25093FE7"/>
    <w:rsid w:val="25A25E59"/>
    <w:rsid w:val="2FCB7E4E"/>
    <w:rsid w:val="41B54532"/>
    <w:rsid w:val="460A4BB7"/>
    <w:rsid w:val="524B4D3B"/>
    <w:rsid w:val="529A5705"/>
    <w:rsid w:val="60FA003F"/>
    <w:rsid w:val="61BA4586"/>
    <w:rsid w:val="66EE454E"/>
    <w:rsid w:val="6A256A34"/>
    <w:rsid w:val="6B423746"/>
    <w:rsid w:val="6BBF46D8"/>
    <w:rsid w:val="6D7B2804"/>
    <w:rsid w:val="738A5D8D"/>
    <w:rsid w:val="76C932A1"/>
    <w:rsid w:val="78F27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en-US" w:eastAsia="zh-CN" w:bidi="ar-SA"/>
    </w:rPr>
  </w:style>
  <w:style w:type="paragraph" w:styleId="4">
    <w:name w:val="Title"/>
    <w:basedOn w:val="1"/>
    <w:qFormat/>
    <w:uiPriority w:val="1"/>
    <w:pPr>
      <w:spacing w:line="722" w:lineRule="exact"/>
      <w:ind w:left="818" w:right="1117"/>
      <w:jc w:val="center"/>
    </w:pPr>
    <w:rPr>
      <w:rFonts w:ascii="Arial Unicode MS" w:hAnsi="Arial Unicode MS" w:eastAsia="Arial Unicode MS" w:cs="Arial Unicode MS"/>
      <w:sz w:val="44"/>
      <w:szCs w:val="44"/>
      <w:lang w:val="en-US" w:eastAsia="zh-CN" w:bidi="ar-SA"/>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68"/>
      <w:ind w:left="2192" w:hanging="479"/>
    </w:pPr>
    <w:rPr>
      <w:rFonts w:ascii="仿宋" w:hAnsi="仿宋" w:eastAsia="仿宋" w:cs="仿宋"/>
      <w:lang w:val="en-US" w:eastAsia="zh-CN" w:bidi="ar-SA"/>
    </w:rPr>
  </w:style>
  <w:style w:type="paragraph" w:customStyle="1" w:styleId="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00"/>
    <customShpInfo spid="_x0000_s4101"/>
    <customShpInfo spid="_x0000_s4102"/>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1280</Words>
  <Characters>1439</Characters>
  <TotalTime>5</TotalTime>
  <ScaleCrop>false</ScaleCrop>
  <LinksUpToDate>false</LinksUpToDate>
  <CharactersWithSpaces>1439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2023-10-07T01:22:00Z</dcterms:created>
  <dc:creator>周大效(新号)</dc:creator>
  <cp:lastModifiedBy>Fyan</cp:lastModifiedBy>
  <dcterms:modified xsi:type="dcterms:W3CDTF">2024-10-08T09:50:01Z</dcterms:modified>
  <dc:title>广州市黄埔区人民政府征地补偿安置公告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WPS 文字</vt:lpwstr>
  </property>
  <property fmtid="{D5CDD505-2E9C-101B-9397-08002B2CF9AE}" pid="4" name="LastSaved">
    <vt:filetime>2023-10-07T00:00:00Z</vt:filetime>
  </property>
  <property fmtid="{D5CDD505-2E9C-101B-9397-08002B2CF9AE}" pid="5" name="KSOProductBuildVer">
    <vt:lpwstr>2052-12.1.0.18276</vt:lpwstr>
  </property>
  <property fmtid="{D5CDD505-2E9C-101B-9397-08002B2CF9AE}" pid="6" name="ICV">
    <vt:lpwstr>7962AB3B0D3740E9B7992C137BD9FDCF</vt:lpwstr>
  </property>
</Properties>
</file>