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粤府土审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〔2024〕185号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广东省人民政府关于广州市天河区</w:t>
      </w: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b w:val="0"/>
          <w:bCs w:val="0"/>
          <w:snapToGrid/>
          <w:spacing w:val="0"/>
          <w:kern w:val="2"/>
          <w:sz w:val="40"/>
          <w:szCs w:val="40"/>
          <w:lang w:eastAsia="zh-CN"/>
        </w:rPr>
        <w:t>第五批次</w:t>
      </w: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城市建设用地的批复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《广州市天河区人民政府关于申请广州市天河区2022年度第五批次城市建设用地土地征收的请示》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穗天府报〔2024〕20号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收悉，现批复如下：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一、同意你市天河区将农民集体所有农用地13.2431公顷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其中耕地4.2518公顷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和未利用地2.0346公顷转为建设用地并办理征地手续，另征收农民集体所有建设用地3.5275公顷；同意将国有农用地0.0151公顷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其中耕地0.0007公顷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和未利用地0.0007公顷转为建设用地。上述批准建设用地18.8210公顷，由当地人民政府依法依规供应，用于城市建设。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有关规定，严格履行征地批后实施程序，及时足额支付补偿费用，落实被征地农民的社会保障费用等安置措施，妥善安排好被征地农民的生产和生活，保证原有生活水平不降低，长远生计有保障。征地补偿安置不落实的，不得动工用地。你市相关不动产登记机构以此办理集体土地所有权注销或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三、请你市人民政府负责落实补充耕地。督促补充耕地责任单位认真按照农用地转用方案，补充数量相等、质量相当的耕地，落实建设占用耕地耕作层土壤剥离利用。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21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四、严格按照国家有关规定缴纳新增建设用地土地有偿使用费。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</w:p>
    <w:p>
      <w:pPr>
        <w:spacing w:line="337" w:lineRule="auto"/>
        <w:rPr>
          <w:rFonts w:hint="default" w:ascii="Times New Roman" w:hAnsi="Times New Roman" w:cs="Times New Roman"/>
          <w:sz w:val="21"/>
        </w:rPr>
      </w:pPr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FA0CFC"/>
    <w:rsid w:val="0E317D30"/>
    <w:rsid w:val="12A55E9B"/>
    <w:rsid w:val="1B4C5F39"/>
    <w:rsid w:val="20DD476D"/>
    <w:rsid w:val="484E1F2A"/>
    <w:rsid w:val="56ED2552"/>
    <w:rsid w:val="62D21D8B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2024-09-14T07:35:21Z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