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84A90">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华文中宋" w:cs="Times New Roman"/>
          <w:sz w:val="44"/>
          <w:szCs w:val="44"/>
          <w:highlight w:val="none"/>
        </w:rPr>
      </w:pPr>
      <w:bookmarkStart w:id="0" w:name="_GoBack"/>
      <w:r>
        <w:rPr>
          <w:rFonts w:hint="default" w:ascii="Times New Roman" w:hAnsi="Times New Roman" w:eastAsia="华文中宋" w:cs="Times New Roman"/>
          <w:sz w:val="44"/>
          <w:szCs w:val="44"/>
          <w:highlight w:val="none"/>
        </w:rPr>
        <w:t>关于如意坊放射线系统工程</w:t>
      </w:r>
      <w:r>
        <w:rPr>
          <w:rFonts w:hint="default" w:ascii="Times New Roman" w:hAnsi="Times New Roman" w:eastAsia="华文中宋" w:cs="Times New Roman"/>
          <w:sz w:val="44"/>
          <w:szCs w:val="44"/>
          <w:highlight w:val="none"/>
          <w:lang w:eastAsia="zh-CN"/>
        </w:rPr>
        <w:t>（</w:t>
      </w:r>
      <w:r>
        <w:rPr>
          <w:rFonts w:hint="default" w:ascii="Times New Roman" w:hAnsi="Times New Roman" w:eastAsia="华文中宋" w:cs="Times New Roman"/>
          <w:sz w:val="44"/>
          <w:szCs w:val="44"/>
          <w:highlight w:val="none"/>
        </w:rPr>
        <w:t>二期</w:t>
      </w:r>
      <w:r>
        <w:rPr>
          <w:rFonts w:hint="default" w:ascii="Times New Roman" w:hAnsi="Times New Roman" w:eastAsia="华文中宋" w:cs="Times New Roman"/>
          <w:sz w:val="44"/>
          <w:szCs w:val="44"/>
          <w:highlight w:val="none"/>
          <w:lang w:eastAsia="zh-CN"/>
        </w:rPr>
        <w:t>）</w:t>
      </w:r>
      <w:r>
        <w:rPr>
          <w:rFonts w:hint="default" w:ascii="Times New Roman" w:hAnsi="Times New Roman" w:eastAsia="华文中宋" w:cs="Times New Roman"/>
          <w:sz w:val="44"/>
          <w:szCs w:val="44"/>
          <w:highlight w:val="none"/>
        </w:rPr>
        <w:t>项目</w:t>
      </w:r>
    </w:p>
    <w:p w14:paraId="0736F2D2">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华文中宋" w:cs="Times New Roman"/>
          <w:sz w:val="44"/>
          <w:szCs w:val="44"/>
          <w:highlight w:val="none"/>
        </w:rPr>
      </w:pPr>
      <w:r>
        <w:rPr>
          <w:rFonts w:hint="default" w:ascii="Times New Roman" w:hAnsi="Times New Roman" w:eastAsia="华文中宋" w:cs="Times New Roman"/>
          <w:sz w:val="44"/>
          <w:szCs w:val="44"/>
          <w:highlight w:val="none"/>
          <w:lang w:eastAsia="zh-CN"/>
        </w:rPr>
        <w:t>（</w:t>
      </w:r>
      <w:r>
        <w:rPr>
          <w:rFonts w:hint="default" w:ascii="Times New Roman" w:hAnsi="Times New Roman" w:eastAsia="华文中宋" w:cs="Times New Roman"/>
          <w:sz w:val="44"/>
          <w:szCs w:val="44"/>
          <w:highlight w:val="none"/>
        </w:rPr>
        <w:t>广州市荔湾区2024年度第</w:t>
      </w:r>
      <w:r>
        <w:rPr>
          <w:rFonts w:hint="default" w:ascii="Times New Roman" w:hAnsi="Times New Roman" w:eastAsia="华文中宋" w:cs="Times New Roman"/>
          <w:sz w:val="44"/>
          <w:szCs w:val="44"/>
          <w:highlight w:val="none"/>
          <w:lang w:val="en-US" w:eastAsia="zh-CN"/>
        </w:rPr>
        <w:t>五</w:t>
      </w:r>
      <w:r>
        <w:rPr>
          <w:rFonts w:hint="default" w:ascii="Times New Roman" w:hAnsi="Times New Roman" w:eastAsia="华文中宋" w:cs="Times New Roman"/>
          <w:sz w:val="44"/>
          <w:szCs w:val="44"/>
          <w:highlight w:val="none"/>
        </w:rPr>
        <w:t>批次城市</w:t>
      </w:r>
    </w:p>
    <w:p w14:paraId="3153F02F">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cs="Times New Roman"/>
          <w:b/>
          <w:color w:val="000000"/>
          <w:sz w:val="44"/>
          <w:szCs w:val="44"/>
        </w:rPr>
      </w:pPr>
      <w:r>
        <w:rPr>
          <w:rFonts w:hint="default" w:ascii="Times New Roman" w:hAnsi="Times New Roman" w:eastAsia="华文中宋" w:cs="Times New Roman"/>
          <w:sz w:val="44"/>
          <w:szCs w:val="44"/>
          <w:highlight w:val="none"/>
        </w:rPr>
        <w:t>建设地</w:t>
      </w:r>
      <w:r>
        <w:rPr>
          <w:rFonts w:hint="default" w:ascii="Times New Roman" w:hAnsi="Times New Roman" w:eastAsia="华文中宋" w:cs="Times New Roman"/>
          <w:sz w:val="44"/>
          <w:szCs w:val="44"/>
          <w:highlight w:val="none"/>
          <w:lang w:eastAsia="zh-CN"/>
        </w:rPr>
        <w:t>）</w:t>
      </w:r>
      <w:r>
        <w:rPr>
          <w:rFonts w:hint="default" w:ascii="Times New Roman" w:hAnsi="Times New Roman" w:eastAsia="华文中宋" w:cs="Times New Roman"/>
          <w:sz w:val="44"/>
          <w:szCs w:val="44"/>
          <w:highlight w:val="none"/>
        </w:rPr>
        <w:t>被征地农民养老保障方案</w:t>
      </w:r>
      <w:bookmarkEnd w:id="0"/>
    </w:p>
    <w:p w14:paraId="71567A09">
      <w:pPr>
        <w:jc w:val="center"/>
        <w:rPr>
          <w:rFonts w:hint="default" w:ascii="Times New Roman" w:hAnsi="Times New Roman" w:cs="Times New Roman"/>
          <w:b/>
          <w:color w:val="000000"/>
          <w:sz w:val="44"/>
          <w:szCs w:val="44"/>
        </w:rPr>
      </w:pPr>
    </w:p>
    <w:p w14:paraId="64149AD6">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如意坊放射线系统工程（二期）项目（广州市荔湾区2024年度第五批次城市建设用地）被征地农民养老保障方案如下：</w:t>
      </w:r>
    </w:p>
    <w:p w14:paraId="33184E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方正公文黑体" w:cs="Times New Roman"/>
          <w:color w:val="000000"/>
          <w:kern w:val="0"/>
          <w:sz w:val="32"/>
          <w:szCs w:val="32"/>
        </w:rPr>
        <w:t>一、对如意坊放射线系统工程</w:t>
      </w:r>
      <w:r>
        <w:rPr>
          <w:rFonts w:hint="default" w:ascii="Times New Roman" w:hAnsi="Times New Roman" w:eastAsia="方正公文黑体" w:cs="Times New Roman"/>
          <w:color w:val="000000"/>
          <w:kern w:val="0"/>
          <w:sz w:val="32"/>
          <w:szCs w:val="32"/>
          <w:lang w:eastAsia="zh-CN"/>
        </w:rPr>
        <w:t>（</w:t>
      </w:r>
      <w:r>
        <w:rPr>
          <w:rFonts w:hint="default" w:ascii="Times New Roman" w:hAnsi="Times New Roman" w:eastAsia="方正公文黑体" w:cs="Times New Roman"/>
          <w:color w:val="000000"/>
          <w:kern w:val="0"/>
          <w:sz w:val="32"/>
          <w:szCs w:val="32"/>
        </w:rPr>
        <w:t>二期</w:t>
      </w:r>
      <w:r>
        <w:rPr>
          <w:rFonts w:hint="default" w:ascii="Times New Roman" w:hAnsi="Times New Roman" w:eastAsia="方正公文黑体" w:cs="Times New Roman"/>
          <w:color w:val="000000"/>
          <w:kern w:val="0"/>
          <w:sz w:val="32"/>
          <w:szCs w:val="32"/>
          <w:lang w:eastAsia="zh-CN"/>
        </w:rPr>
        <w:t>）</w:t>
      </w:r>
      <w:r>
        <w:rPr>
          <w:rFonts w:hint="default" w:ascii="Times New Roman" w:hAnsi="Times New Roman" w:eastAsia="方正公文黑体" w:cs="Times New Roman"/>
          <w:color w:val="000000"/>
          <w:kern w:val="0"/>
          <w:sz w:val="32"/>
          <w:szCs w:val="32"/>
        </w:rPr>
        <w:t>项目（广州市荔湾区2024年度第五批次城市建设用地）涉及</w:t>
      </w:r>
      <w:r>
        <w:rPr>
          <w:rFonts w:hint="default" w:ascii="Times New Roman" w:hAnsi="Times New Roman" w:eastAsia="方正公文黑体" w:cs="Times New Roman"/>
          <w:color w:val="000000"/>
          <w:sz w:val="32"/>
          <w:szCs w:val="32"/>
        </w:rPr>
        <w:t>的被</w:t>
      </w:r>
      <w:r>
        <w:rPr>
          <w:rFonts w:hint="default" w:ascii="Times New Roman" w:hAnsi="Times New Roman" w:eastAsia="方正公文黑体" w:cs="Times New Roman"/>
          <w:color w:val="000000"/>
          <w:kern w:val="0"/>
          <w:sz w:val="32"/>
          <w:szCs w:val="32"/>
        </w:rPr>
        <w:t>征地农民实施社会养老保障。</w:t>
      </w:r>
    </w:p>
    <w:p w14:paraId="63D02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公文黑体" w:cs="Times New Roman"/>
          <w:color w:val="000000"/>
          <w:kern w:val="0"/>
          <w:sz w:val="32"/>
          <w:szCs w:val="32"/>
          <w:lang w:eastAsia="zh-CN"/>
        </w:rPr>
        <w:t>二、征地社保费筹集。</w:t>
      </w:r>
      <w:r>
        <w:rPr>
          <w:rFonts w:hint="default" w:ascii="Times New Roman" w:hAnsi="Times New Roman" w:eastAsia="仿宋_GB2312" w:cs="Times New Roman"/>
          <w:sz w:val="32"/>
          <w:szCs w:val="32"/>
          <w:highlight w:val="none"/>
          <w:lang w:val="en-US" w:eastAsia="zh-CN"/>
        </w:rPr>
        <w:t>依据市规划和自然资源局荔湾区分局提供情况，该项目征收我区海龙街增滘股份合作经济联合社土地面积共65.0415亩，其中0亩属于农村集体经济组织留用地，目前征地双方尚未完成征地补偿安置协议签订。该项目征地社保费应按5.5万/亩的标准计提（即征地补偿安置方案制定时，我区每亩平均征收农用地综合区片地价51万元/亩乘以对应广州市五级十一档计提比例10%，因计算结果5.1万元/亩低于该档最低计提标准5.5万元/亩，按最低计提标准执行），其中0亩属于农村集体经济组织留用地，按规定不计提征地社保费，需计提资金共357.73万元由征地主体（用地单位）一次性预存入我区人力资源社会保障部门开设的“收缴被征地农民养老保障资金过渡户”，计入征地成本，纳入工程项目概算。</w:t>
      </w:r>
    </w:p>
    <w:p w14:paraId="6ECB2D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公文黑体" w:cs="Times New Roman"/>
          <w:color w:val="000000"/>
          <w:kern w:val="0"/>
          <w:sz w:val="32"/>
          <w:szCs w:val="32"/>
          <w:lang w:eastAsia="zh-CN"/>
        </w:rPr>
        <w:t>三、征地社保费补贴对象。</w:t>
      </w:r>
      <w:r>
        <w:rPr>
          <w:rFonts w:hint="default" w:ascii="Times New Roman" w:hAnsi="Times New Roman" w:eastAsia="仿宋_GB2312" w:cs="Times New Roman"/>
          <w:sz w:val="32"/>
          <w:szCs w:val="32"/>
          <w:highlight w:val="none"/>
          <w:lang w:val="en-US" w:eastAsia="zh-C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7CC27E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公文黑体" w:cs="Times New Roman"/>
          <w:color w:val="000000"/>
          <w:kern w:val="0"/>
          <w:sz w:val="32"/>
          <w:szCs w:val="32"/>
          <w:lang w:eastAsia="zh-CN"/>
        </w:rPr>
        <w:t>四、征地社保费发放。</w:t>
      </w:r>
      <w:r>
        <w:rPr>
          <w:rFonts w:hint="default" w:ascii="Times New Roman" w:hAnsi="Times New Roman" w:eastAsia="仿宋_GB2312" w:cs="Times New Roman"/>
          <w:sz w:val="32"/>
          <w:szCs w:val="32"/>
          <w:highlight w:val="none"/>
          <w:lang w:val="en-US" w:eastAsia="zh-CN"/>
        </w:rPr>
        <w:t>一是征地社保费与征地安置补偿费同期拨付。征地实施部门在拟发放征地安置补助费时，应告知同级人力资源社会保障部门和征地项目所在街道办事处。街道办事处牵头组织被征地农户在15个工作日内按时提供具体参保人员名单和分配金额。被征地农户未按时提供的，由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14:paraId="52198EB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kern w:val="32"/>
          <w:sz w:val="32"/>
          <w:szCs w:val="32"/>
          <w:lang w:val="en-US" w:eastAsia="zh-CN"/>
        </w:rPr>
      </w:pPr>
    </w:p>
    <w:p w14:paraId="744503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公文仿宋" w:cs="Times New Roman"/>
          <w:sz w:val="32"/>
          <w:szCs w:val="32"/>
          <w:u w:val="none"/>
          <w:lang w:val="en-US" w:eastAsia="zh-CN"/>
        </w:rPr>
      </w:pPr>
      <w:r>
        <w:rPr>
          <w:rFonts w:hint="default" w:ascii="Times New Roman" w:hAnsi="Times New Roman" w:eastAsia="方正公文仿宋" w:cs="Times New Roman"/>
          <w:sz w:val="32"/>
          <w:szCs w:val="32"/>
          <w:u w:val="none"/>
          <w:lang w:val="en-US" w:eastAsia="zh-CN"/>
        </w:rPr>
        <w:t>附件：征地土地及养老保障情况表</w:t>
      </w:r>
    </w:p>
    <w:p w14:paraId="5C9328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kern w:val="32"/>
          <w:sz w:val="32"/>
          <w:szCs w:val="32"/>
          <w:lang w:val="en-US" w:eastAsia="zh-CN"/>
        </w:rPr>
      </w:pPr>
    </w:p>
    <w:p w14:paraId="249BE45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2C101C9C">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公文仿宋" w:cs="Times New Roman"/>
          <w:sz w:val="32"/>
          <w:szCs w:val="32"/>
          <w:u w:val="none"/>
        </w:rPr>
      </w:pPr>
      <w:r>
        <w:rPr>
          <w:rFonts w:hint="default" w:ascii="Times New Roman" w:hAnsi="Times New Roman" w:eastAsia="方正公文仿宋" w:cs="Times New Roman"/>
          <w:sz w:val="32"/>
          <w:szCs w:val="32"/>
          <w:u w:val="none"/>
        </w:rPr>
        <w:t>广州市荔湾区人力资源和社会保障局</w:t>
      </w:r>
    </w:p>
    <w:p w14:paraId="31DFD6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方正公文仿宋" w:cs="Times New Roman"/>
          <w:sz w:val="32"/>
          <w:szCs w:val="32"/>
          <w:u w:val="none"/>
        </w:rPr>
        <w:t xml:space="preserve">                      </w:t>
      </w:r>
      <w:r>
        <w:rPr>
          <w:rFonts w:hint="default" w:ascii="Times New Roman" w:hAnsi="Times New Roman" w:eastAsia="方正公文仿宋" w:cs="Times New Roman"/>
          <w:sz w:val="32"/>
          <w:szCs w:val="32"/>
          <w:u w:val="none"/>
          <w:lang w:val="en-US" w:eastAsia="zh-CN"/>
        </w:rPr>
        <w:t xml:space="preserve">  </w:t>
      </w:r>
      <w:r>
        <w:rPr>
          <w:rFonts w:hint="default" w:ascii="Times New Roman" w:hAnsi="Times New Roman" w:eastAsia="方正公文仿宋" w:cs="Times New Roman"/>
          <w:sz w:val="32"/>
          <w:szCs w:val="32"/>
          <w:u w:val="none"/>
        </w:rPr>
        <w:t xml:space="preserve">  202</w:t>
      </w:r>
      <w:r>
        <w:rPr>
          <w:rFonts w:hint="default" w:ascii="Times New Roman" w:hAnsi="Times New Roman" w:eastAsia="方正公文仿宋" w:cs="Times New Roman"/>
          <w:sz w:val="32"/>
          <w:szCs w:val="32"/>
          <w:u w:val="none"/>
          <w:lang w:val="en-US" w:eastAsia="zh-CN"/>
        </w:rPr>
        <w:t>4</w:t>
      </w:r>
      <w:r>
        <w:rPr>
          <w:rFonts w:hint="default" w:ascii="Times New Roman" w:hAnsi="Times New Roman" w:eastAsia="方正公文仿宋" w:cs="Times New Roman"/>
          <w:sz w:val="32"/>
          <w:szCs w:val="32"/>
          <w:u w:val="none"/>
        </w:rPr>
        <w:t>年</w:t>
      </w:r>
      <w:r>
        <w:rPr>
          <w:rFonts w:hint="default" w:ascii="Times New Roman" w:hAnsi="Times New Roman" w:eastAsia="方正公文仿宋" w:cs="Times New Roman"/>
          <w:sz w:val="32"/>
          <w:szCs w:val="32"/>
          <w:u w:val="none"/>
          <w:lang w:val="en-US" w:eastAsia="zh-CN"/>
        </w:rPr>
        <w:t>8</w:t>
      </w:r>
      <w:r>
        <w:rPr>
          <w:rFonts w:hint="default" w:ascii="Times New Roman" w:hAnsi="Times New Roman" w:eastAsia="方正公文仿宋" w:cs="Times New Roman"/>
          <w:sz w:val="32"/>
          <w:szCs w:val="32"/>
          <w:u w:val="none"/>
        </w:rPr>
        <w:t>月</w:t>
      </w:r>
      <w:r>
        <w:rPr>
          <w:rFonts w:hint="default" w:ascii="Times New Roman" w:hAnsi="Times New Roman" w:eastAsia="方正公文仿宋" w:cs="Times New Roman"/>
          <w:sz w:val="32"/>
          <w:szCs w:val="32"/>
          <w:u w:val="none"/>
          <w:lang w:val="en-US" w:eastAsia="zh-CN"/>
        </w:rPr>
        <w:t>16</w:t>
      </w:r>
      <w:r>
        <w:rPr>
          <w:rFonts w:hint="default" w:ascii="Times New Roman" w:hAnsi="Times New Roman" w:eastAsia="方正公文仿宋" w:cs="Times New Roman"/>
          <w:sz w:val="32"/>
          <w:szCs w:val="32"/>
          <w:u w:val="none"/>
        </w:rPr>
        <w:t>日</w:t>
      </w:r>
      <w:r>
        <w:rPr>
          <w:rFonts w:hint="default" w:ascii="Times New Roman" w:hAnsi="Times New Roman" w:eastAsia="仿宋_GB2312" w:cs="Times New Roman"/>
          <w:sz w:val="32"/>
          <w:szCs w:val="32"/>
        </w:rPr>
        <w:t xml:space="preserve"> </w:t>
      </w:r>
    </w:p>
    <w:p w14:paraId="60B7AA16">
      <w:pPr>
        <w:pStyle w:val="2"/>
        <w:rPr>
          <w:rFonts w:hint="default" w:ascii="Times New Roman" w:hAnsi="Times New Roman" w:eastAsia="仿宋_GB2312" w:cs="Times New Roman"/>
          <w:sz w:val="32"/>
          <w:szCs w:val="32"/>
        </w:rPr>
      </w:pPr>
    </w:p>
    <w:p w14:paraId="32A59E25">
      <w:pPr>
        <w:pStyle w:val="2"/>
        <w:rPr>
          <w:rFonts w:hint="default" w:ascii="Times New Roman" w:hAnsi="Times New Roman" w:eastAsia="仿宋_GB2312" w:cs="Times New Roman"/>
          <w:sz w:val="32"/>
          <w:szCs w:val="32"/>
        </w:rPr>
      </w:pPr>
    </w:p>
    <w:p w14:paraId="5256E4A8">
      <w:pPr>
        <w:pStyle w:val="2"/>
        <w:rPr>
          <w:rFonts w:hint="default" w:ascii="Times New Roman" w:hAnsi="Times New Roman" w:eastAsia="仿宋_GB2312" w:cs="Times New Roman"/>
          <w:sz w:val="32"/>
          <w:szCs w:val="32"/>
        </w:rPr>
      </w:pPr>
    </w:p>
    <w:p w14:paraId="62A22AD1">
      <w:pPr>
        <w:pStyle w:val="2"/>
        <w:rPr>
          <w:rFonts w:hint="default" w:ascii="Times New Roman" w:hAnsi="Times New Roman" w:eastAsia="仿宋_GB2312" w:cs="Times New Roman"/>
          <w:sz w:val="32"/>
          <w:szCs w:val="32"/>
        </w:rPr>
      </w:pPr>
    </w:p>
    <w:p w14:paraId="15F4FD88">
      <w:pPr>
        <w:pStyle w:val="2"/>
        <w:rPr>
          <w:rFonts w:hint="default" w:ascii="Times New Roman" w:hAnsi="Times New Roman" w:eastAsia="仿宋_GB2312" w:cs="Times New Roman"/>
          <w:sz w:val="32"/>
          <w:szCs w:val="32"/>
        </w:rPr>
      </w:pPr>
    </w:p>
    <w:p w14:paraId="3D4152B8">
      <w:pPr>
        <w:pStyle w:val="2"/>
        <w:rPr>
          <w:rFonts w:hint="default" w:ascii="Times New Roman" w:hAnsi="Times New Roman" w:eastAsia="仿宋_GB2312" w:cs="Times New Roman"/>
          <w:sz w:val="32"/>
          <w:szCs w:val="32"/>
        </w:rPr>
      </w:pPr>
    </w:p>
    <w:p w14:paraId="5483F2B6">
      <w:pPr>
        <w:pStyle w:val="2"/>
        <w:rPr>
          <w:rFonts w:hint="default" w:ascii="Times New Roman" w:hAnsi="Times New Roman" w:eastAsia="仿宋_GB2312" w:cs="Times New Roman"/>
          <w:sz w:val="32"/>
          <w:szCs w:val="32"/>
        </w:rPr>
      </w:pPr>
    </w:p>
    <w:p w14:paraId="664EEC9C">
      <w:pPr>
        <w:pStyle w:val="2"/>
        <w:rPr>
          <w:rFonts w:hint="default" w:ascii="Times New Roman" w:hAnsi="Times New Roman" w:eastAsia="仿宋_GB2312" w:cs="Times New Roman"/>
          <w:sz w:val="32"/>
          <w:szCs w:val="32"/>
        </w:rPr>
      </w:pPr>
    </w:p>
    <w:p w14:paraId="0EA420E3">
      <w:pPr>
        <w:pStyle w:val="2"/>
        <w:rPr>
          <w:rFonts w:hint="default" w:ascii="Times New Roman" w:hAnsi="Times New Roman" w:eastAsia="仿宋_GB2312" w:cs="Times New Roman"/>
          <w:sz w:val="32"/>
          <w:szCs w:val="32"/>
        </w:rPr>
      </w:pPr>
    </w:p>
    <w:p w14:paraId="1BDB87E2">
      <w:pPr>
        <w:pStyle w:val="2"/>
        <w:rPr>
          <w:rFonts w:hint="default" w:ascii="Times New Roman" w:hAnsi="Times New Roman" w:eastAsia="仿宋_GB2312" w:cs="Times New Roman"/>
          <w:sz w:val="32"/>
          <w:szCs w:val="32"/>
        </w:rPr>
      </w:pPr>
    </w:p>
    <w:p w14:paraId="598E864B">
      <w:pPr>
        <w:pStyle w:val="2"/>
        <w:rPr>
          <w:rFonts w:hint="default" w:ascii="Times New Roman" w:hAnsi="Times New Roman" w:eastAsia="仿宋_GB2312" w:cs="Times New Roman"/>
          <w:sz w:val="32"/>
          <w:szCs w:val="32"/>
        </w:rPr>
      </w:pPr>
    </w:p>
    <w:p w14:paraId="67E92005">
      <w:pPr>
        <w:pStyle w:val="2"/>
        <w:rPr>
          <w:rFonts w:hint="default" w:ascii="Times New Roman" w:hAnsi="Times New Roman" w:eastAsia="仿宋_GB2312" w:cs="Times New Roman"/>
          <w:sz w:val="32"/>
          <w:szCs w:val="32"/>
        </w:rPr>
      </w:pPr>
    </w:p>
    <w:p w14:paraId="6026561F">
      <w:pPr>
        <w:pStyle w:val="2"/>
        <w:rPr>
          <w:rFonts w:hint="default" w:ascii="Times New Roman" w:hAnsi="Times New Roman" w:eastAsia="仿宋_GB2312" w:cs="Times New Roman"/>
          <w:sz w:val="32"/>
          <w:szCs w:val="32"/>
        </w:rPr>
      </w:pPr>
    </w:p>
    <w:p w14:paraId="5061CD67">
      <w:pPr>
        <w:pStyle w:val="2"/>
        <w:rPr>
          <w:rFonts w:hint="default" w:ascii="Times New Roman" w:hAnsi="Times New Roman" w:eastAsia="仿宋_GB2312" w:cs="Times New Roman"/>
          <w:sz w:val="32"/>
          <w:szCs w:val="32"/>
        </w:rPr>
      </w:pPr>
    </w:p>
    <w:p w14:paraId="321B3399">
      <w:pPr>
        <w:pStyle w:val="2"/>
        <w:rPr>
          <w:rFonts w:hint="default" w:ascii="Times New Roman" w:hAnsi="Times New Roman" w:eastAsia="仿宋_GB2312" w:cs="Times New Roman"/>
          <w:sz w:val="32"/>
          <w:szCs w:val="32"/>
        </w:rPr>
      </w:pPr>
    </w:p>
    <w:p w14:paraId="3AC03046">
      <w:pPr>
        <w:pStyle w:val="2"/>
        <w:ind w:left="0" w:leftChars="0" w:firstLine="0" w:firstLineChars="0"/>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w:t>
      </w:r>
    </w:p>
    <w:p w14:paraId="3E1F7787">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2B174EFF">
      <w:pPr>
        <w:spacing w:line="600" w:lineRule="exact"/>
        <w:ind w:right="770"/>
        <w:jc w:val="right"/>
        <w:rPr>
          <w:rFonts w:hint="default" w:ascii="Times New Roman" w:hAnsi="Times New Roman" w:eastAsia="方正公文仿宋" w:cs="Times New Roman"/>
          <w:sz w:val="28"/>
          <w:szCs w:val="28"/>
        </w:rPr>
      </w:pPr>
      <w:r>
        <w:rPr>
          <w:rFonts w:hint="default" w:ascii="Times New Roman" w:hAnsi="Times New Roman" w:eastAsia="方正公文仿宋"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4DB82D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C0C2023">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8A205B8">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E28820">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E3D0DC">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需计提征地社保费</w:t>
            </w:r>
          </w:p>
        </w:tc>
      </w:tr>
      <w:tr w14:paraId="3BBB1E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59E0949F">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lang w:val="en-US" w:eastAsia="zh-CN"/>
              </w:rPr>
              <w:t>海龙</w:t>
            </w:r>
            <w:r>
              <w:rPr>
                <w:rFonts w:hint="default" w:ascii="Times New Roman" w:hAnsi="Times New Roman" w:eastAsia="方正公文仿宋" w:cs="Times New Roman"/>
                <w:kern w:val="0"/>
                <w:sz w:val="28"/>
                <w:szCs w:val="28"/>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CFF3A6">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增滘股份合作经济联合社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07A4E45">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65.0415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345D85">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lang w:val="en-US" w:eastAsia="zh-CN"/>
              </w:rPr>
              <w:t>0</w:t>
            </w:r>
            <w:r>
              <w:rPr>
                <w:rFonts w:hint="default" w:ascii="Times New Roman" w:hAnsi="Times New Roman" w:eastAsia="方正公文仿宋" w:cs="Times New Roman"/>
                <w:kern w:val="0"/>
                <w:sz w:val="28"/>
                <w:szCs w:val="28"/>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579D28">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357.73</w:t>
            </w:r>
          </w:p>
        </w:tc>
      </w:tr>
      <w:tr w14:paraId="29CC2A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D497294">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A6D3980">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65.0415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09FB2C">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0</w:t>
            </w:r>
            <w:r>
              <w:rPr>
                <w:rFonts w:hint="default" w:ascii="Times New Roman" w:hAnsi="Times New Roman" w:eastAsia="方正公文仿宋" w:cs="Times New Roman"/>
                <w:kern w:val="0"/>
                <w:sz w:val="28"/>
                <w:szCs w:val="28"/>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3CAE21">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357.73</w:t>
            </w:r>
          </w:p>
        </w:tc>
      </w:tr>
    </w:tbl>
    <w:p w14:paraId="2AC84B54">
      <w:pPr>
        <w:spacing w:line="320" w:lineRule="exact"/>
        <w:ind w:right="210"/>
        <w:jc w:val="left"/>
        <w:rPr>
          <w:rFonts w:hint="default" w:ascii="Times New Roman" w:hAnsi="Times New Roman" w:eastAsia="方正公文仿宋" w:cs="Times New Roman"/>
          <w:sz w:val="24"/>
          <w:szCs w:val="28"/>
        </w:rPr>
      </w:pPr>
      <w:r>
        <w:rPr>
          <w:rFonts w:hint="default" w:ascii="Times New Roman" w:hAnsi="Times New Roman" w:eastAsia="方正公文仿宋" w:cs="Times New Roman"/>
          <w:sz w:val="24"/>
          <w:szCs w:val="28"/>
        </w:rPr>
        <w:t>说明：1、征地社保费计提标准</w:t>
      </w:r>
      <w:r>
        <w:rPr>
          <w:rFonts w:hint="default" w:ascii="Times New Roman" w:hAnsi="Times New Roman" w:eastAsia="方正公文仿宋" w:cs="Times New Roman"/>
          <w:sz w:val="24"/>
          <w:szCs w:val="28"/>
          <w:lang w:val="en-US" w:eastAsia="zh-CN"/>
        </w:rPr>
        <w:t>5.5</w:t>
      </w:r>
      <w:r>
        <w:rPr>
          <w:rFonts w:hint="default" w:ascii="Times New Roman" w:hAnsi="Times New Roman" w:eastAsia="方正公文仿宋" w:cs="Times New Roman"/>
          <w:sz w:val="24"/>
          <w:szCs w:val="28"/>
        </w:rPr>
        <w:t>万元/亩，征地社保费计算结果向上取整，精确到百元。</w:t>
      </w:r>
    </w:p>
    <w:p w14:paraId="36A95B96">
      <w:r>
        <w:rPr>
          <w:rFonts w:hint="default" w:ascii="Times New Roman" w:hAnsi="Times New Roman" w:eastAsia="方正公文仿宋" w:cs="Times New Roman"/>
          <w:sz w:val="24"/>
          <w:szCs w:val="28"/>
        </w:rPr>
        <w:t>2、被征收土地属于农村集体经济组织留用地的，不计提征地社保费。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公文黑体">
    <w:altName w:val="黑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黑体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YjllYjFiMTlhZWJiZDRlM2NhMzA5OGYxMjk5Y2YifQ=="/>
  </w:docVars>
  <w:rsids>
    <w:rsidRoot w:val="04746CE0"/>
    <w:rsid w:val="0474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宋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2024-09-04T02:56:00Z</dcterms:created>
  <dc:creator>陈R_</dc:creator>
  <cp:lastModifiedBy>陈R_</cp:lastModifiedBy>
  <dcterms:modified xsi:type="dcterms:W3CDTF">2024-09-04T02:57:33Z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175054B4E7EB41FA83D2DD08E6A80B65_11</vt:lpwstr>
  </property>
</Properties>
</file>