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ascii="Times New Roman" w:hAnsi="Times New Roman" w:eastAsia="方正小标宋简体" w:cs="黑体"/>
          <w:sz w:val="44"/>
          <w:szCs w:val="52"/>
        </w:rPr>
      </w:pPr>
      <w:r>
        <w:rPr>
          <w:sz w:val="44"/>
        </w:rPr>
        <mc:AlternateContent>
          <mc:Choice Requires="wps">
            <w:drawing>
              <wp:anchor distT="0" distB="0" distL="114300" distR="114300" simplePos="0" relativeHeight="251660288" behindDoc="0" locked="0" layoutInCell="1" allowOverlap="1">
                <wp:simplePos x="0" y="0"/>
                <wp:positionH relativeFrom="column">
                  <wp:posOffset>-146050</wp:posOffset>
                </wp:positionH>
                <wp:positionV relativeFrom="paragraph">
                  <wp:posOffset>-639445</wp:posOffset>
                </wp:positionV>
                <wp:extent cx="897890" cy="471170"/>
                <wp:effectExtent l="0" t="0" r="16510" b="5080"/>
                <wp:wrapNone/>
                <wp:docPr id="1" name="文本框 1"/>
                <wp:cNvGraphicFramePr/>
                <a:graphic xmlns:a="http://schemas.openxmlformats.org/drawingml/2006/main">
                  <a:graphicData uri="http://schemas.microsoft.com/office/word/2010/wordprocessingShape">
                    <wps:wsp>
                      <wps:cNvSpPr txBox="1"/>
                      <wps:spPr>
                        <a:xfrm>
                          <a:off x="233680" y="217805"/>
                          <a:ext cx="897890" cy="471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50.35pt;height:37.1pt;width:70.7pt;z-index:251660288;mso-width-relative:page;mso-height-relative:page;" filled="f" stroked="f" coordsize="21600,21600" o:gfxdata="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ojOWJ2wAAAAwBAAAPAAAAAAAAAAEA&#10;IAAAACIAAABkcnMvZG93bnJldi54bWxQSwECFAAUAAAACACHTuJAySopr0UCAABvBAAADgAAAAAA&#10;AAABACAAAAAqAQAAZHJzL2Uyb0RvYy54bWxQSwUGAAAAAAYABgBZAQAA4QUAAAAA&#10;">
                <v:fill on="f" focussize="0,0"/>
                <v:stroke on="f" weight="0.5pt"/>
                <v:imagedata o:title=""/>
                <o:lock v:ext="edit" aspectratio="f"/>
                <v:textbox>
                  <w:txbxContent>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v:textbox>
              </v:shape>
            </w:pict>
          </mc:Fallback>
        </mc:AlternateContent>
      </w:r>
      <w:r>
        <w:rPr>
          <w:rFonts w:hint="eastAsia" w:ascii="Times New Roman" w:hAnsi="Times New Roman" w:eastAsia="方正小标宋简体" w:cs="黑体"/>
          <w:sz w:val="44"/>
          <w:szCs w:val="52"/>
        </w:rPr>
        <w:t>征地补偿安置方案</w:t>
      </w:r>
    </w:p>
    <w:p>
      <w:pPr>
        <w:keepNext w:val="0"/>
        <w:keepLines w:val="0"/>
        <w:pageBreakBefore w:val="0"/>
        <w:widowControl w:val="0"/>
        <w:kinsoku/>
        <w:wordWrap/>
        <w:overflowPunct/>
        <w:topLinePunct w:val="0"/>
        <w:autoSpaceDE/>
        <w:autoSpaceDN/>
        <w:bidi w:val="0"/>
        <w:adjustRightInd/>
        <w:snapToGrid/>
        <w:spacing w:after="156" w:afterLines="50" w:line="560" w:lineRule="exact"/>
        <w:jc w:val="both"/>
        <w:textAlignment w:val="auto"/>
        <w:rPr>
          <w:rFonts w:ascii="Times New Roman" w:hAnsi="Times New Roman" w:eastAsia="黑体" w:cs="黑体"/>
          <w:sz w:val="44"/>
          <w:szCs w:val="5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为实施城镇</w:t>
      </w:r>
      <w:r>
        <w:rPr>
          <w:rFonts w:hint="eastAsia" w:ascii="Times New Roman" w:hAnsi="Times New Roman" w:eastAsia="仿宋_GB2312"/>
          <w:b w:val="0"/>
          <w:color w:val="000000"/>
          <w:sz w:val="32"/>
          <w:szCs w:val="32"/>
        </w:rPr>
        <w:t>规</w:t>
      </w:r>
      <w:r>
        <w:rPr>
          <w:rFonts w:hint="eastAsia" w:ascii="Times New Roman" w:hAnsi="Times New Roman" w:eastAsia="仿宋_GB2312"/>
          <w:b w:val="0"/>
          <w:sz w:val="32"/>
          <w:szCs w:val="32"/>
        </w:rPr>
        <w:t>划，广</w:t>
      </w:r>
      <w:r>
        <w:rPr>
          <w:rFonts w:hint="eastAsia" w:ascii="Times New Roman" w:hAnsi="Times New Roman" w:eastAsia="仿宋_GB2312"/>
          <w:b w:val="0"/>
          <w:color w:val="000000"/>
          <w:sz w:val="32"/>
          <w:szCs w:val="32"/>
        </w:rPr>
        <w:t>州市南沙区人民政府拟征收广东省广州市南沙区横沥镇义沙经济联合社属</w:t>
      </w:r>
      <w:r>
        <w:rPr>
          <w:rFonts w:hint="eastAsia" w:ascii="Times New Roman" w:hAnsi="Times New Roman" w:eastAsia="仿宋_GB2312"/>
          <w:b w:val="0"/>
          <w:sz w:val="32"/>
          <w:szCs w:val="32"/>
        </w:rPr>
        <w:t>下的集体土地1.7212公顷。根据《中华人民共和国土地管理法》《中华人民共和国土地管理法实施条例》等规定以及广州市征收农用地区片综合地价，拟定了征地补偿安置方案，具体如下：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征收集体土地总面积1.7212公顷，</w:t>
      </w:r>
      <w:r>
        <w:rPr>
          <w:rFonts w:ascii="Times New Roman" w:hAnsi="Times New Roman" w:eastAsia="仿宋_GB2312"/>
          <w:b w:val="0"/>
          <w:sz w:val="32"/>
          <w:szCs w:val="32"/>
        </w:rPr>
        <w:t>根据拟征收土地现状调查，征地范围涉及土地现状农用地</w:t>
      </w:r>
      <w:r>
        <w:rPr>
          <w:rFonts w:hint="eastAsia" w:ascii="Times New Roman" w:hAnsi="Times New Roman" w:eastAsia="仿宋_GB2312"/>
          <w:b w:val="0"/>
          <w:sz w:val="32"/>
          <w:szCs w:val="32"/>
        </w:rPr>
        <w:t>0.1477</w:t>
      </w:r>
      <w:r>
        <w:rPr>
          <w:rFonts w:ascii="Times New Roman" w:hAnsi="Times New Roman" w:eastAsia="仿宋_GB2312"/>
          <w:b w:val="0"/>
          <w:sz w:val="32"/>
          <w:szCs w:val="32"/>
        </w:rPr>
        <w:t>公顷（</w:t>
      </w:r>
      <w:r>
        <w:rPr>
          <w:rFonts w:hint="eastAsia" w:ascii="Times New Roman" w:hAnsi="Times New Roman" w:eastAsia="仿宋_GB2312"/>
          <w:b w:val="0"/>
          <w:sz w:val="32"/>
          <w:szCs w:val="32"/>
        </w:rPr>
        <w:t>含</w:t>
      </w:r>
      <w:r>
        <w:rPr>
          <w:rFonts w:ascii="Times New Roman" w:hAnsi="Times New Roman" w:eastAsia="仿宋_GB2312"/>
          <w:b w:val="0"/>
          <w:sz w:val="32"/>
          <w:szCs w:val="32"/>
        </w:rPr>
        <w:t>耕地</w:t>
      </w:r>
      <w:r>
        <w:rPr>
          <w:rFonts w:hint="eastAsia" w:ascii="Times New Roman" w:hAnsi="Times New Roman" w:eastAsia="仿宋_GB2312"/>
          <w:b w:val="0"/>
          <w:sz w:val="32"/>
          <w:szCs w:val="32"/>
        </w:rPr>
        <w:t>0.0117</w:t>
      </w:r>
      <w:r>
        <w:rPr>
          <w:rFonts w:ascii="Times New Roman" w:hAnsi="Times New Roman" w:eastAsia="仿宋_GB2312"/>
          <w:b w:val="0"/>
          <w:sz w:val="32"/>
          <w:szCs w:val="32"/>
        </w:rPr>
        <w:t>公顷）</w:t>
      </w:r>
      <w:r>
        <w:rPr>
          <w:rFonts w:hint="eastAsia" w:ascii="Times New Roman" w:hAnsi="Times New Roman" w:eastAsia="仿宋_GB2312"/>
          <w:b w:val="0"/>
          <w:sz w:val="32"/>
          <w:szCs w:val="32"/>
        </w:rPr>
        <w:t>、建设用地1.5735公顷</w:t>
      </w:r>
      <w:r>
        <w:rPr>
          <w:rFonts w:ascii="Times New Roman" w:hAnsi="Times New Roman" w:eastAsia="仿宋_GB2312"/>
          <w:b w:val="0"/>
          <w:sz w:val="32"/>
          <w:szCs w:val="32"/>
        </w:rPr>
        <w:t>。根据用地报批</w:t>
      </w:r>
      <w:r>
        <w:rPr>
          <w:rFonts w:hint="eastAsia" w:ascii="Times New Roman" w:hAnsi="Times New Roman" w:eastAsia="仿宋_GB2312"/>
          <w:b w:val="0"/>
          <w:sz w:val="32"/>
          <w:szCs w:val="32"/>
        </w:rPr>
        <w:t>地类相关规则</w:t>
      </w:r>
      <w:r>
        <w:rPr>
          <w:rFonts w:ascii="Times New Roman" w:hAnsi="Times New Roman" w:eastAsia="仿宋_GB2312"/>
          <w:b w:val="0"/>
          <w:sz w:val="32"/>
          <w:szCs w:val="32"/>
        </w:rPr>
        <w:t>，上述征收地块报批地类为农用地</w:t>
      </w:r>
      <w:r>
        <w:rPr>
          <w:rFonts w:hint="eastAsia" w:ascii="Times New Roman" w:hAnsi="Times New Roman" w:eastAsia="仿宋_GB2312"/>
          <w:b w:val="0"/>
          <w:sz w:val="32"/>
          <w:szCs w:val="32"/>
        </w:rPr>
        <w:t>1.6258公顷（含耕地1.1595公顷）、建设用地0.0954公顷。具体结果以用地批准结果为准。</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二、土地补偿费与安置补偿费</w:t>
      </w:r>
    </w:p>
    <w:p>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ascii="Times New Roman" w:hAnsi="Times New Roman" w:eastAsia="仿宋_GB2312"/>
          <w:b w:val="0"/>
          <w:bCs/>
          <w:sz w:val="32"/>
          <w:szCs w:val="28"/>
        </w:rPr>
      </w:pPr>
      <w:r>
        <w:rPr>
          <w:rFonts w:hint="eastAsia" w:ascii="Times New Roman" w:hAnsi="Times New Roman" w:eastAsia="仿宋_GB2312"/>
          <w:b/>
          <w:bCs w:val="0"/>
          <w:sz w:val="28"/>
          <w:szCs w:val="24"/>
        </w:rPr>
        <w:t>土地补偿费与安置补偿费一览表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仿宋_GB2312"/>
          <w:b w:val="0"/>
          <w:sz w:val="22"/>
          <w:szCs w:val="22"/>
        </w:rPr>
      </w:pPr>
      <w:r>
        <w:rPr>
          <w:rFonts w:hint="eastAsia" w:ascii="Times New Roman" w:hAnsi="Times New Roman" w:eastAsia="仿宋_GB2312"/>
          <w:b w:val="0"/>
          <w:sz w:val="24"/>
          <w:szCs w:val="24"/>
        </w:rPr>
        <w:t>（单位：公顷、万元/公顷、万元）</w:t>
      </w:r>
    </w:p>
    <w:tbl>
      <w:tblPr>
        <w:tblStyle w:val="5"/>
        <w:tblW w:w="57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490"/>
        <w:gridCol w:w="1316"/>
        <w:gridCol w:w="876"/>
        <w:gridCol w:w="1116"/>
        <w:gridCol w:w="876"/>
        <w:gridCol w:w="1123"/>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单位</w:t>
            </w:r>
          </w:p>
        </w:tc>
        <w:tc>
          <w:tcPr>
            <w:tcW w:w="766"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土地类别</w:t>
            </w:r>
          </w:p>
        </w:tc>
        <w:tc>
          <w:tcPr>
            <w:tcW w:w="676"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面积</w:t>
            </w:r>
          </w:p>
        </w:tc>
        <w:tc>
          <w:tcPr>
            <w:tcW w:w="1023" w:type="pct"/>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土地补偿费</w:t>
            </w:r>
          </w:p>
        </w:tc>
        <w:tc>
          <w:tcPr>
            <w:tcW w:w="1025" w:type="pct"/>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安置补偿费</w:t>
            </w:r>
          </w:p>
        </w:tc>
        <w:tc>
          <w:tcPr>
            <w:tcW w:w="732"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766"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676"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标准</w:t>
            </w:r>
          </w:p>
        </w:tc>
        <w:tc>
          <w:tcPr>
            <w:tcW w:w="573"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金额</w:t>
            </w:r>
          </w:p>
        </w:tc>
        <w:tc>
          <w:tcPr>
            <w:tcW w:w="45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标准</w:t>
            </w:r>
          </w:p>
        </w:tc>
        <w:tc>
          <w:tcPr>
            <w:tcW w:w="575"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补偿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bCs w:val="0"/>
                <w:sz w:val="24"/>
                <w:szCs w:val="24"/>
              </w:rPr>
            </w:pPr>
            <w:r>
              <w:rPr>
                <w:rFonts w:hint="eastAsia" w:ascii="Times New Roman" w:hAnsi="Times New Roman" w:eastAsia="仿宋_GB2312"/>
                <w:b/>
                <w:bCs w:val="0"/>
                <w:sz w:val="24"/>
                <w:szCs w:val="24"/>
              </w:rPr>
              <w:t>金额</w:t>
            </w:r>
          </w:p>
        </w:tc>
        <w:tc>
          <w:tcPr>
            <w:tcW w:w="732"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5"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rPr>
              <w:t>横沥镇</w:t>
            </w:r>
            <w:r>
              <w:rPr>
                <w:rFonts w:hint="eastAsia" w:ascii="Times New Roman" w:hAnsi="Times New Roman" w:eastAsia="仿宋_GB2312"/>
                <w:b w:val="0"/>
                <w:sz w:val="24"/>
                <w:szCs w:val="24"/>
                <w:lang w:val="en-US" w:eastAsia="zh-CN"/>
              </w:rPr>
              <w:t>义沙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rPr>
              <w:t>经济联合社</w:t>
            </w:r>
          </w:p>
        </w:tc>
        <w:tc>
          <w:tcPr>
            <w:tcW w:w="7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sz w:val="24"/>
                <w:szCs w:val="24"/>
              </w:rPr>
            </w:pPr>
            <w:r>
              <w:rPr>
                <w:rFonts w:hint="eastAsia" w:ascii="Times New Roman" w:hAnsi="Times New Roman" w:eastAsia="仿宋_GB2312"/>
                <w:b w:val="0"/>
                <w:sz w:val="24"/>
                <w:szCs w:val="24"/>
              </w:rPr>
              <w:t>农用地</w:t>
            </w:r>
          </w:p>
        </w:tc>
        <w:tc>
          <w:tcPr>
            <w:tcW w:w="676" w:type="pct"/>
            <w:shd w:val="clear" w:color="auto" w:fill="auto"/>
            <w:noWrap w:val="0"/>
            <w:vAlign w:val="center"/>
          </w:tcPr>
          <w:p>
            <w:pPr>
              <w:keepNext w:val="0"/>
              <w:keepLines w:val="0"/>
              <w:widowControl/>
              <w:suppressLineNumbers w:val="0"/>
              <w:jc w:val="center"/>
              <w:textAlignment w:val="center"/>
              <w:rPr>
                <w:rFonts w:ascii="Times New Roman" w:hAnsi="Times New Roman" w:eastAsia="仿宋_GB2312"/>
                <w:b w:val="0"/>
                <w:sz w:val="24"/>
                <w:szCs w:val="24"/>
              </w:rPr>
            </w:pPr>
            <w:r>
              <w:rPr>
                <w:rFonts w:hint="default" w:ascii="Times New Roman" w:hAnsi="Times New Roman" w:eastAsia="仿宋_GB2312"/>
                <w:b w:val="0"/>
                <w:sz w:val="24"/>
                <w:szCs w:val="24"/>
                <w:lang w:val="en-US" w:eastAsia="zh-CN"/>
              </w:rPr>
              <w:t>1.6258</w:t>
            </w:r>
          </w:p>
        </w:tc>
        <w:tc>
          <w:tcPr>
            <w:tcW w:w="450"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197.25</w:t>
            </w:r>
          </w:p>
        </w:tc>
        <w:tc>
          <w:tcPr>
            <w:tcW w:w="573"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320.6891</w:t>
            </w:r>
          </w:p>
        </w:tc>
        <w:tc>
          <w:tcPr>
            <w:tcW w:w="450"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197.25</w:t>
            </w:r>
          </w:p>
        </w:tc>
        <w:tc>
          <w:tcPr>
            <w:tcW w:w="575"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320.6891</w:t>
            </w:r>
          </w:p>
        </w:tc>
        <w:tc>
          <w:tcPr>
            <w:tcW w:w="732" w:type="pct"/>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641.3782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5"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b w:val="0"/>
                <w:sz w:val="24"/>
                <w:szCs w:val="24"/>
              </w:rPr>
            </w:pPr>
          </w:p>
        </w:tc>
        <w:tc>
          <w:tcPr>
            <w:tcW w:w="7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建设用地</w:t>
            </w:r>
          </w:p>
        </w:tc>
        <w:tc>
          <w:tcPr>
            <w:tcW w:w="676"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rPr>
            </w:pPr>
            <w:r>
              <w:rPr>
                <w:rFonts w:hint="default" w:ascii="Times New Roman" w:hAnsi="Times New Roman" w:eastAsia="仿宋_GB2312"/>
                <w:b w:val="0"/>
                <w:sz w:val="24"/>
                <w:szCs w:val="24"/>
                <w:lang w:val="en-US" w:eastAsia="zh-CN"/>
              </w:rPr>
              <w:t>0.0954</w:t>
            </w:r>
          </w:p>
        </w:tc>
        <w:tc>
          <w:tcPr>
            <w:tcW w:w="450"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394.50</w:t>
            </w:r>
          </w:p>
        </w:tc>
        <w:tc>
          <w:tcPr>
            <w:tcW w:w="573"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37.6353</w:t>
            </w:r>
          </w:p>
        </w:tc>
        <w:tc>
          <w:tcPr>
            <w:tcW w:w="450"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0</w:t>
            </w:r>
          </w:p>
        </w:tc>
        <w:tc>
          <w:tcPr>
            <w:tcW w:w="575"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0</w:t>
            </w:r>
          </w:p>
        </w:tc>
        <w:tc>
          <w:tcPr>
            <w:tcW w:w="732"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37.6353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267" w:type="pct"/>
            <w:gridSpan w:val="7"/>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lang w:val="en-US" w:eastAsia="zh-CN"/>
              </w:rPr>
            </w:pPr>
            <w:bookmarkStart w:id="0" w:name="_GoBack"/>
            <w:r>
              <w:rPr>
                <w:rFonts w:hint="default" w:ascii="Times New Roman" w:hAnsi="Times New Roman" w:eastAsia="仿宋_GB2312"/>
                <w:b w:val="0"/>
                <w:bCs w:val="0"/>
                <w:sz w:val="24"/>
                <w:szCs w:val="24"/>
                <w:lang w:val="en-US" w:eastAsia="zh-CN"/>
              </w:rPr>
              <w:t>土地补偿</w:t>
            </w:r>
            <w:r>
              <w:rPr>
                <w:rFonts w:hint="eastAsia" w:ascii="Times New Roman" w:hAnsi="Times New Roman" w:eastAsia="仿宋_GB2312"/>
                <w:b w:val="0"/>
                <w:bCs w:val="0"/>
                <w:sz w:val="24"/>
                <w:szCs w:val="24"/>
                <w:lang w:val="en-US" w:eastAsia="zh-CN"/>
              </w:rPr>
              <w:t>费</w:t>
            </w:r>
            <w:r>
              <w:rPr>
                <w:rFonts w:hint="default" w:ascii="Times New Roman" w:hAnsi="Times New Roman" w:eastAsia="仿宋_GB2312"/>
                <w:b w:val="0"/>
                <w:bCs w:val="0"/>
                <w:sz w:val="24"/>
                <w:szCs w:val="24"/>
                <w:lang w:val="en-US" w:eastAsia="zh-CN"/>
              </w:rPr>
              <w:t>和安置补偿费合计</w:t>
            </w:r>
            <w:bookmarkEnd w:id="0"/>
          </w:p>
        </w:tc>
        <w:tc>
          <w:tcPr>
            <w:tcW w:w="732" w:type="pct"/>
            <w:shd w:val="clear" w:color="auto" w:fill="auto"/>
            <w:noWrap w:val="0"/>
            <w:vAlign w:val="center"/>
          </w:tcPr>
          <w:p>
            <w:pPr>
              <w:keepNext w:val="0"/>
              <w:keepLines w:val="0"/>
              <w:widowControl/>
              <w:suppressLineNumbers w:val="0"/>
              <w:jc w:val="center"/>
              <w:textAlignment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679.0135</w:t>
            </w:r>
          </w:p>
        </w:tc>
      </w:tr>
    </w:tbl>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0" w:firstLineChars="200"/>
        <w:jc w:val="both"/>
        <w:textAlignment w:val="auto"/>
        <w:rPr>
          <w:rFonts w:ascii="Times New Roman" w:hAnsi="Times New Roman" w:eastAsia="仿宋_GB2312"/>
          <w:b w:val="0"/>
          <w:sz w:val="32"/>
          <w:szCs w:val="32"/>
        </w:rPr>
      </w:pPr>
      <w:r>
        <w:rPr>
          <w:rFonts w:hint="eastAsia" w:ascii="Times New Roman" w:hAnsi="Times New Roman" w:eastAsia="仿宋_GB2312"/>
          <w:b w:val="0"/>
          <w:sz w:val="32"/>
          <w:szCs w:val="32"/>
        </w:rPr>
        <w:t>涉及到房屋拆迁的，按照广州市南沙区人民政府有关规定的标准进行补偿安置。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三、青苗补偿费及地上附着物补偿费。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b w:val="0"/>
          <w:color w:val="000000"/>
          <w:sz w:val="32"/>
          <w:szCs w:val="32"/>
        </w:rPr>
      </w:pPr>
      <w:r>
        <w:rPr>
          <w:rFonts w:hint="eastAsia" w:ascii="Times New Roman" w:hAnsi="Times New Roman" w:eastAsia="仿宋_GB2312"/>
          <w:b w:val="0"/>
          <w:sz w:val="32"/>
          <w:szCs w:val="32"/>
        </w:rPr>
        <w:t>征地范围内的青苗补偿费及地上附着物补偿费等其他补偿费用按政府有关规定进行补偿。</w:t>
      </w:r>
    </w:p>
    <w:p>
      <w:pPr>
        <w:keepNext w:val="0"/>
        <w:keepLines w:val="0"/>
        <w:pageBreakBefore w:val="0"/>
        <w:widowControl w:val="0"/>
        <w:kinsoku/>
        <w:wordWrap/>
        <w:overflowPunct/>
        <w:topLinePunct w:val="0"/>
        <w:autoSpaceDE/>
        <w:autoSpaceDN/>
        <w:bidi w:val="0"/>
        <w:adjustRightInd/>
        <w:snapToGrid/>
        <w:spacing w:line="560" w:lineRule="exact"/>
        <w:ind w:left="640"/>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四、安置措施情况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sz w:val="32"/>
          <w:szCs w:val="32"/>
        </w:rPr>
      </w:pPr>
      <w:r>
        <w:rPr>
          <w:rFonts w:hint="eastAsia" w:ascii="Times New Roman" w:hAnsi="Times New Roman" w:eastAsia="仿宋_GB2312"/>
          <w:b w:val="0"/>
          <w:sz w:val="32"/>
          <w:szCs w:val="32"/>
        </w:rPr>
        <w:t>为妥善安置被征地农民，切实解决被征地农民的生产生活出路，在保证货币安置落实的同时，按实际征地面积</w:t>
      </w:r>
      <w:r>
        <w:rPr>
          <w:rFonts w:hint="eastAsia" w:ascii="Times New Roman" w:hAnsi="Times New Roman" w:eastAsia="仿宋_GB2312"/>
          <w:b w:val="0"/>
          <w:sz w:val="32"/>
          <w:szCs w:val="32"/>
          <w:lang w:val="en-US" w:eastAsia="zh-CN"/>
        </w:rPr>
        <w:t>10</w:t>
      </w:r>
      <w:r>
        <w:rPr>
          <w:rFonts w:hint="eastAsia" w:ascii="Times New Roman" w:hAnsi="Times New Roman" w:eastAsia="仿宋_GB2312"/>
          <w:b w:val="0"/>
          <w:sz w:val="32"/>
          <w:szCs w:val="32"/>
        </w:rPr>
        <w:t>%计算留用地给被征地村集体，留用地兑现方式为实地留地。</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2597785</wp:posOffset>
              </wp:positionH>
              <wp:positionV relativeFrom="paragraph">
                <wp:posOffset>-95250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55pt;margin-top:-7.5pt;height:144pt;width:144pt;mso-position-horizontal-relative:margin;mso-wrap-style:none;z-index:251659264;mso-width-relative:page;mso-height-relative:page;" filled="f" stroked="f" coordsize="21600,21600" o:gfxdata="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mUb959gAAAALAQAADwAAAAAAAAABACAAAAAiAAAAZHJzL2Rvd25yZXYueG1s&#10;UEsBAhQAFAAAAAgAh07iQF/Ipr3cAgAAJAYAAA4AAAAAAAAAAQAgAAAAJwEAAGRycy9lMm9Eb2Mu&#10;eG1sUEsFBgAAAAAGAAYAWQEAAHUG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Q0ODM0YWFiZWM5ODNlMGQyNjE4ZTVjMGE3NjgifQ=="/>
  </w:docVars>
  <w:rsids>
    <w:rsidRoot w:val="5E5675D3"/>
    <w:rsid w:val="04D62D14"/>
    <w:rsid w:val="1AA60BB2"/>
    <w:rsid w:val="29B817B2"/>
    <w:rsid w:val="2E9A7DFF"/>
    <w:rsid w:val="33583341"/>
    <w:rsid w:val="53557FD1"/>
    <w:rsid w:val="5E5675D3"/>
    <w:rsid w:val="618152A8"/>
    <w:rsid w:val="771F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672</Characters>
  <Lines>0</Lines>
  <Paragraphs>0</Paragraphs>
  <TotalTime>8</TotalTime>
  <ScaleCrop>false</ScaleCrop>
  <LinksUpToDate>false</LinksUpToDate>
  <CharactersWithSpaces>672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2024-04-07T06:49:00Z</dcterms:created>
  <dc:creator>GHY-NSY</dc:creator>
  <cp:lastModifiedBy>HYF</cp:lastModifiedBy>
  <dcterms:modified xsi:type="dcterms:W3CDTF">2024-08-03T07:37:58Z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094AAA41D5B94DA2B470422684CB4A88_12</vt:lpwstr>
  </property>
</Properties>
</file>