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附件2</w:t>
      </w:r>
    </w:p>
    <w:p>
      <w:pPr>
        <w:adjustRightInd w:val="0"/>
        <w:snapToGrid w:val="0"/>
        <w:jc w:val="left"/>
        <w:rPr>
          <w:rFonts w:hint="default" w:ascii="Times New Roman" w:hAnsi="Times New Roman" w:eastAsia="黑体" w:cs="Times New Roman"/>
          <w:sz w:val="32"/>
          <w:szCs w:val="32"/>
          <w:shd w:val="clear" w:color="auto" w:fill="FFFFFF"/>
          <w:lang w:val="en-US" w:eastAsia="zh-CN"/>
        </w:rPr>
      </w:pPr>
    </w:p>
    <w:p>
      <w:pPr>
        <w:adjustRightInd w:val="0"/>
        <w:snapToGrid w:val="0"/>
        <w:spacing w:line="600" w:lineRule="exact"/>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关于</w:t>
      </w:r>
      <w:r>
        <w:rPr>
          <w:rFonts w:ascii="Times New Roman" w:hAnsi="Times New Roman" w:eastAsia="方正小标宋简体" w:cs="Times New Roman"/>
          <w:color w:val="000000"/>
          <w:sz w:val="44"/>
          <w:szCs w:val="44"/>
        </w:rPr>
        <w:t>广州市黄埔区（中新广州知识城</w:t>
      </w:r>
      <w:r>
        <w:rPr>
          <w:rFonts w:hint="eastAsia" w:ascii="Times New Roman" w:hAnsi="Times New Roman" w:eastAsia="方正小标宋简体" w:cs="Times New Roman"/>
          <w:color w:val="000000"/>
          <w:sz w:val="44"/>
          <w:szCs w:val="44"/>
          <w:lang w:eastAsia="zh-CN"/>
        </w:rPr>
        <w:t>）2024</w:t>
      </w:r>
      <w:r>
        <w:rPr>
          <w:rFonts w:hint="eastAsia" w:ascii="Times New Roman" w:hAnsi="Times New Roman" w:eastAsia="方正小标宋简体" w:cs="Times New Roman"/>
          <w:color w:val="000000"/>
          <w:sz w:val="44"/>
          <w:szCs w:val="44"/>
          <w:lang w:val="en-US" w:eastAsia="zh-CN"/>
        </w:rPr>
        <w:t xml:space="preserve">   </w:t>
      </w:r>
      <w:r>
        <w:rPr>
          <w:rFonts w:hint="eastAsia" w:ascii="Times New Roman" w:hAnsi="Times New Roman" w:eastAsia="方正小标宋简体" w:cs="Times New Roman"/>
          <w:color w:val="000000"/>
          <w:sz w:val="44"/>
          <w:szCs w:val="44"/>
          <w:lang w:eastAsia="zh-CN"/>
        </w:rPr>
        <w:t>年度第五批次</w:t>
      </w:r>
      <w:r>
        <w:rPr>
          <w:rFonts w:ascii="Times New Roman" w:hAnsi="Times New Roman" w:eastAsia="方正小标宋简体" w:cs="Times New Roman"/>
          <w:color w:val="000000"/>
          <w:sz w:val="44"/>
          <w:szCs w:val="44"/>
        </w:rPr>
        <w:t>城镇建设用地</w:t>
      </w:r>
      <w:r>
        <w:rPr>
          <w:rFonts w:hint="eastAsia" w:ascii="Times New Roman" w:hAnsi="Times New Roman" w:eastAsia="方正小标宋简体" w:cs="Times New Roman"/>
          <w:color w:val="000000"/>
          <w:sz w:val="44"/>
          <w:szCs w:val="44"/>
        </w:rPr>
        <w:t>项目</w:t>
      </w:r>
      <w:r>
        <w:rPr>
          <w:rFonts w:ascii="Times New Roman" w:hAnsi="Times New Roman" w:eastAsia="方正小标宋简体" w:cs="Times New Roman"/>
          <w:color w:val="000000"/>
          <w:sz w:val="44"/>
          <w:szCs w:val="44"/>
        </w:rPr>
        <w:t>被征地</w:t>
      </w:r>
      <w:r>
        <w:rPr>
          <w:rFonts w:hint="eastAsia" w:ascii="Times New Roman" w:hAnsi="Times New Roman" w:eastAsia="方正小标宋简体" w:cs="Times New Roman"/>
          <w:color w:val="000000"/>
          <w:sz w:val="44"/>
          <w:szCs w:val="44"/>
          <w:lang w:val="en-US" w:eastAsia="zh-CN"/>
        </w:rPr>
        <w:t xml:space="preserve">     </w:t>
      </w:r>
      <w:r>
        <w:rPr>
          <w:rFonts w:ascii="Times New Roman" w:hAnsi="Times New Roman" w:eastAsia="方正小标宋简体" w:cs="Times New Roman"/>
          <w:color w:val="000000"/>
          <w:sz w:val="44"/>
          <w:szCs w:val="44"/>
        </w:rPr>
        <w:t>农民养老保障方案</w:t>
      </w:r>
      <w:r>
        <w:rPr>
          <w:rFonts w:hint="eastAsia" w:ascii="Times New Roman" w:hAnsi="Times New Roman" w:eastAsia="方正小标宋简体" w:cs="Times New Roman"/>
          <w:color w:val="000000"/>
          <w:sz w:val="44"/>
          <w:szCs w:val="44"/>
        </w:rPr>
        <w:t>(</w:t>
      </w:r>
      <w:r>
        <w:rPr>
          <w:rFonts w:hint="eastAsia" w:ascii="Times New Roman" w:hAnsi="Times New Roman" w:eastAsia="方正小标宋简体" w:cs="Times New Roman"/>
          <w:color w:val="000000"/>
          <w:sz w:val="44"/>
          <w:szCs w:val="44"/>
          <w:lang w:val="en-US" w:eastAsia="zh-CN"/>
        </w:rPr>
        <w:t>107.4780</w:t>
      </w:r>
      <w:r>
        <w:rPr>
          <w:rFonts w:hint="eastAsia" w:ascii="Times New Roman" w:hAnsi="Times New Roman" w:eastAsia="方正小标宋简体" w:cs="Times New Roman"/>
          <w:color w:val="000000"/>
          <w:sz w:val="44"/>
          <w:szCs w:val="44"/>
        </w:rPr>
        <w:t>亩)</w:t>
      </w:r>
    </w:p>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p>
    <w:p>
      <w:pPr>
        <w:ind w:firstLine="640" w:firstLineChars="200"/>
        <w:jc w:val="both"/>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和《广州市人民政府办公厅转发关于进一步完善我省被征地农民养老保障政策意见的通知》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w:t>
      </w:r>
      <w:r>
        <w:rPr>
          <w:rFonts w:hint="eastAsia" w:ascii="Times New Roman" w:hAnsi="Times New Roman" w:eastAsia="仿宋_GB2312" w:cs="Times New Roman"/>
          <w:color w:val="000000"/>
          <w:kern w:val="0"/>
          <w:sz w:val="32"/>
          <w:szCs w:val="32"/>
          <w:shd w:val="clear" w:color="auto" w:fill="FFFFFF"/>
          <w:lang w:bidi="ar"/>
        </w:rPr>
        <w:t>2</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3</w:t>
      </w:r>
      <w:r>
        <w:rPr>
          <w:rFonts w:ascii="Times New Roman" w:hAnsi="Times New Roman" w:eastAsia="仿宋_GB2312" w:cs="Times New Roman"/>
          <w:color w:val="000000"/>
          <w:kern w:val="0"/>
          <w:sz w:val="32"/>
          <w:szCs w:val="32"/>
          <w:shd w:val="clear" w:color="auto" w:fill="FFFFFF"/>
          <w:lang w:bidi="ar"/>
        </w:rPr>
        <w:t>号）等有关规定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）2024年度第五批次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107.4780</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ind w:firstLine="640" w:firstLineChars="200"/>
        <w:jc w:val="both"/>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）2024年度第五批次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val="en-US" w:eastAsia="zh-CN"/>
        </w:rPr>
        <w:t>107.4780</w:t>
      </w:r>
      <w:r>
        <w:rPr>
          <w:rFonts w:hint="eastAsia" w:ascii="Times New Roman" w:hAnsi="Times New Roman" w:eastAsia="黑体" w:cs="Times New Roman"/>
          <w:kern w:val="0"/>
          <w:sz w:val="32"/>
          <w:szCs w:val="32"/>
        </w:rPr>
        <w:t>亩）</w:t>
      </w:r>
      <w:r>
        <w:rPr>
          <w:rFonts w:ascii="Times New Roman" w:hAnsi="Times New Roman" w:eastAsia="黑体" w:cs="Times New Roman"/>
          <w:kern w:val="0"/>
          <w:sz w:val="32"/>
          <w:szCs w:val="32"/>
        </w:rPr>
        <w:t>涉及的被征地农民实施社会养老保障。</w:t>
      </w:r>
    </w:p>
    <w:p>
      <w:pPr>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征地社保费筹集</w:t>
      </w:r>
      <w:r>
        <w:rPr>
          <w:rFonts w:ascii="Times New Roman" w:hAnsi="Times New Roman" w:eastAsia="黑体" w:cs="Times New Roman"/>
          <w:kern w:val="0"/>
          <w:sz w:val="32"/>
          <w:szCs w:val="32"/>
        </w:rPr>
        <w:t>。</w:t>
      </w:r>
      <w:r>
        <w:rPr>
          <w:rFonts w:hint="eastAsia" w:ascii="Times New Roman" w:hAnsi="Times New Roman" w:eastAsia="仿宋_GB2312" w:cs="Times New Roman"/>
          <w:sz w:val="32"/>
          <w:szCs w:val="32"/>
        </w:rPr>
        <w:t>依据广州市规划和自然资源局黄埔区分局</w:t>
      </w:r>
      <w:r>
        <w:rPr>
          <w:rFonts w:hint="eastAsia" w:ascii="Times New Roman" w:hAnsi="Times New Roman" w:eastAsia="仿宋_GB2312" w:cs="Times New Roman"/>
          <w:color w:val="000000"/>
          <w:kern w:val="0"/>
          <w:sz w:val="32"/>
          <w:szCs w:val="32"/>
          <w:shd w:val="clear" w:color="auto" w:fill="FFFFFF"/>
          <w:lang w:bidi="ar"/>
        </w:rPr>
        <w:t>提供情况，该项目征收我区</w:t>
      </w:r>
      <w:r>
        <w:rPr>
          <w:rFonts w:hint="eastAsia" w:ascii="Times New Roman" w:hAnsi="Times New Roman" w:eastAsia="仿宋_GB2312" w:cs="Times New Roman"/>
          <w:sz w:val="32"/>
          <w:szCs w:val="32"/>
          <w:lang w:val="en-US" w:eastAsia="zh-CN"/>
        </w:rPr>
        <w:t>九佛街</w:t>
      </w:r>
      <w:r>
        <w:rPr>
          <w:rFonts w:hint="default" w:ascii="Times New Roman" w:hAnsi="Times New Roman" w:eastAsia="仿宋_GB2312" w:cs="Times New Roman"/>
          <w:color w:val="000000"/>
          <w:sz w:val="32"/>
          <w:szCs w:val="32"/>
          <w:lang w:bidi="ar"/>
        </w:rPr>
        <w:t>佛塱村佛塱经济合作社</w:t>
      </w:r>
      <w:r>
        <w:rPr>
          <w:rFonts w:hint="eastAsia" w:ascii="Times New Roman" w:hAnsi="Times New Roman" w:eastAsia="仿宋_GB2312" w:cs="Times New Roman"/>
          <w:color w:val="000000"/>
          <w:sz w:val="32"/>
          <w:szCs w:val="32"/>
          <w:lang w:eastAsia="zh-CN" w:bidi="ar"/>
        </w:rPr>
        <w:t>、佛塱村长塘经济合作社</w:t>
      </w:r>
      <w:r>
        <w:rPr>
          <w:rFonts w:hint="eastAsia" w:ascii="Times New Roman" w:hAnsi="Times New Roman" w:eastAsia="仿宋_GB2312" w:cs="Times New Roman"/>
          <w:color w:val="000000"/>
          <w:kern w:val="0"/>
          <w:sz w:val="32"/>
          <w:szCs w:val="32"/>
          <w:shd w:val="clear" w:color="auto" w:fill="FFFFFF"/>
          <w:lang w:eastAsia="zh-CN" w:bidi="ar"/>
        </w:rPr>
        <w:t>集体</w:t>
      </w:r>
      <w:r>
        <w:rPr>
          <w:rFonts w:hint="eastAsia" w:ascii="Times New Roman" w:hAnsi="Times New Roman" w:eastAsia="仿宋_GB2312" w:cs="Times New Roman"/>
          <w:color w:val="000000"/>
          <w:kern w:val="0"/>
          <w:sz w:val="32"/>
          <w:szCs w:val="32"/>
          <w:shd w:val="clear" w:color="auto" w:fill="FFFFFF"/>
          <w:lang w:bidi="ar"/>
        </w:rPr>
        <w:t>土地面积共</w:t>
      </w:r>
      <w:r>
        <w:rPr>
          <w:rFonts w:hint="eastAsia" w:ascii="Times New Roman" w:hAnsi="Times New Roman" w:eastAsia="仿宋_GB2312" w:cs="Times New Roman"/>
          <w:color w:val="000000"/>
          <w:kern w:val="0"/>
          <w:sz w:val="32"/>
          <w:szCs w:val="32"/>
          <w:shd w:val="clear" w:color="auto" w:fill="FFFFFF"/>
          <w:lang w:val="en-US" w:eastAsia="zh-CN" w:bidi="ar"/>
        </w:rPr>
        <w:t>107.4780</w:t>
      </w:r>
      <w:r>
        <w:rPr>
          <w:rFonts w:hint="eastAsia" w:ascii="Times New Roman" w:hAnsi="Times New Roman" w:eastAsia="仿宋_GB2312" w:cs="Times New Roman"/>
          <w:color w:val="000000"/>
          <w:kern w:val="0"/>
          <w:sz w:val="32"/>
          <w:szCs w:val="32"/>
          <w:shd w:val="clear" w:color="auto" w:fill="FFFFFF"/>
          <w:lang w:bidi="ar"/>
        </w:rPr>
        <w:t>亩（</w:t>
      </w:r>
      <w:r>
        <w:rPr>
          <w:rFonts w:hint="eastAsia" w:eastAsia="仿宋_GB2312" w:cs="Times New Roman"/>
          <w:color w:val="000000"/>
          <w:sz w:val="32"/>
          <w:szCs w:val="32"/>
          <w:lang w:bidi="ar"/>
        </w:rPr>
        <w:t>其中：</w:t>
      </w:r>
      <w:r>
        <w:rPr>
          <w:rFonts w:hint="eastAsia" w:ascii="Times New Roman" w:hAnsi="Times New Roman" w:eastAsia="仿宋_GB2312" w:cs="Times New Roman"/>
          <w:color w:val="000000"/>
          <w:sz w:val="32"/>
          <w:szCs w:val="32"/>
          <w:lang w:val="en-US" w:eastAsia="zh-CN" w:bidi="ar"/>
        </w:rPr>
        <w:t>0.0000</w:t>
      </w:r>
      <w:r>
        <w:rPr>
          <w:rFonts w:ascii="Times New Roman" w:hAnsi="Times New Roman" w:eastAsia="仿宋_GB2312" w:cs="Times New Roman"/>
          <w:color w:val="000000"/>
          <w:sz w:val="32"/>
          <w:szCs w:val="32"/>
          <w:lang w:bidi="ar"/>
        </w:rPr>
        <w:t>亩</w:t>
      </w:r>
      <w:r>
        <w:rPr>
          <w:rFonts w:hint="eastAsia" w:eastAsia="仿宋_GB2312" w:cs="Times New Roman"/>
          <w:color w:val="000000"/>
          <w:sz w:val="32"/>
          <w:szCs w:val="32"/>
          <w:lang w:bidi="ar"/>
        </w:rPr>
        <w:t>属于被征地单位留用地</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涉及征收的土地于2021年8月1日后签订征地补偿安置协议</w:t>
      </w:r>
      <w:r>
        <w:rPr>
          <w:rFonts w:hint="eastAsia" w:ascii="Times New Roman" w:hAnsi="Times New Roman" w:eastAsia="仿宋_GB2312" w:cs="Times New Roman"/>
          <w:color w:val="000000"/>
          <w:kern w:val="0"/>
          <w:sz w:val="32"/>
          <w:szCs w:val="32"/>
          <w:shd w:val="clear" w:color="auto" w:fill="FFFFFF"/>
          <w:lang w:bidi="ar"/>
        </w:rPr>
        <w:t>。该项目征地社保费应按2.47万元/亩的标准计提（即征地补偿安置方案制定时，我区每亩平均征收农用地综合区片地价21.84万元/亩乘以对应广州市五级十档计提比例11%，因计算结果2.4024万元/亩低于该档最低计提标准2.47万元/亩，按最低计提标准执行），其中</w:t>
      </w:r>
      <w:r>
        <w:rPr>
          <w:rFonts w:hint="eastAsia" w:ascii="Times New Roman" w:hAnsi="Times New Roman" w:eastAsia="仿宋_GB2312" w:cs="Times New Roman"/>
          <w:color w:val="000000"/>
          <w:sz w:val="32"/>
          <w:szCs w:val="32"/>
          <w:lang w:val="en-US" w:eastAsia="zh-CN" w:bidi="ar"/>
        </w:rPr>
        <w:t>0</w:t>
      </w:r>
      <w:r>
        <w:rPr>
          <w:rFonts w:hint="eastAsia" w:ascii="Times New Roman" w:hAnsi="Times New Roman" w:eastAsia="仿宋_GB2312" w:cs="Times New Roman"/>
          <w:color w:val="000000"/>
          <w:kern w:val="0"/>
          <w:sz w:val="32"/>
          <w:szCs w:val="32"/>
          <w:shd w:val="clear" w:color="auto" w:fill="FFFFFF"/>
          <w:lang w:bidi="ar"/>
        </w:rPr>
        <w:t>亩属于农村集体经济组织留用地，按规定不计提征地社保费，需计提资金共</w:t>
      </w:r>
      <w:r>
        <w:rPr>
          <w:rFonts w:hint="eastAsia" w:ascii="Times New Roman" w:hAnsi="Times New Roman" w:eastAsia="仿宋_GB2312" w:cs="Times New Roman"/>
          <w:color w:val="000000"/>
          <w:kern w:val="0"/>
          <w:sz w:val="32"/>
          <w:szCs w:val="32"/>
          <w:shd w:val="clear" w:color="auto" w:fill="FFFFFF"/>
          <w:lang w:val="en-US" w:eastAsia="zh-CN" w:bidi="ar"/>
        </w:rPr>
        <w:t>265.48</w:t>
      </w:r>
      <w:r>
        <w:rPr>
          <w:rFonts w:hint="eastAsia" w:ascii="Times New Roman" w:hAnsi="Times New Roman" w:eastAsia="仿宋_GB2312" w:cs="Times New Roman"/>
          <w:color w:val="000000"/>
          <w:kern w:val="0"/>
          <w:sz w:val="32"/>
          <w:szCs w:val="32"/>
          <w:shd w:val="clear" w:color="auto" w:fill="FFFFFF"/>
          <w:lang w:bidi="ar"/>
        </w:rPr>
        <w:t>万元由征地主体（用地单位）一次性预存入我区人力资源社会保障部门开设的“收缴被征地农民养老保障资金过渡户”</w:t>
      </w:r>
      <w:r>
        <w:rPr>
          <w:rFonts w:hint="eastAsia" w:ascii="Times New Roman" w:hAnsi="Times New Roman" w:eastAsia="仿宋_GB2312" w:cs="Times New Roman"/>
          <w:color w:val="000000"/>
          <w:kern w:val="0"/>
          <w:sz w:val="32"/>
          <w:szCs w:val="32"/>
          <w:shd w:val="clear" w:color="auto" w:fill="FFFFFF"/>
          <w:lang w:eastAsia="zh-CN" w:bidi="ar"/>
        </w:rPr>
        <w:t>，</w:t>
      </w:r>
      <w:r>
        <w:rPr>
          <w:rFonts w:hint="eastAsia" w:ascii="Times New Roman" w:hAnsi="Times New Roman" w:eastAsia="仿宋_GB2312" w:cs="Times New Roman"/>
          <w:color w:val="000000"/>
          <w:kern w:val="0"/>
          <w:sz w:val="32"/>
          <w:szCs w:val="32"/>
          <w:shd w:val="clear" w:color="auto" w:fill="FFFFFF"/>
          <w:lang w:bidi="ar"/>
        </w:rPr>
        <w:t>计入征地成本，纳入工程项目概算。</w:t>
      </w:r>
    </w:p>
    <w:p>
      <w:pPr>
        <w:ind w:firstLine="640" w:firstLineChars="200"/>
        <w:jc w:val="both"/>
        <w:rPr>
          <w:rFonts w:ascii="仿宋_GB2312" w:hAnsi="仿宋_GB2312" w:eastAsia="仿宋_GB2312" w:cs="仿宋_GB2312"/>
          <w:kern w:val="0"/>
          <w:sz w:val="32"/>
          <w:szCs w:val="32"/>
        </w:rPr>
      </w:pPr>
      <w:r>
        <w:rPr>
          <w:rFonts w:hint="eastAsia" w:ascii="黑体" w:hAnsi="黑体" w:eastAsia="黑体" w:cs="Times New Roman"/>
          <w:bCs/>
          <w:kern w:val="0"/>
          <w:sz w:val="32"/>
          <w:szCs w:val="32"/>
          <w:shd w:val="clear" w:color="auto" w:fill="FFFFFF"/>
        </w:rPr>
        <w:t>三、征地社保费补贴对象</w:t>
      </w:r>
      <w:r>
        <w:rPr>
          <w:rFonts w:ascii="Times New Roman" w:hAnsi="Times New Roman" w:eastAsia="黑体" w:cs="Times New Roman"/>
          <w:kern w:val="0"/>
          <w:sz w:val="32"/>
          <w:szCs w:val="32"/>
        </w:rPr>
        <w:t>。</w:t>
      </w:r>
      <w:r>
        <w:rPr>
          <w:rFonts w:hint="eastAsia" w:ascii="仿宋_GB2312" w:hAnsi="仿宋_GB2312" w:eastAsia="仿宋_GB2312" w:cs="仿宋_GB2312"/>
          <w:kern w:val="0"/>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hint="default" w:ascii="Times New Roman" w:hAnsi="Times New Roman" w:eastAsia="仿宋_GB2312" w:cs="Times New Roman"/>
          <w:kern w:val="0"/>
          <w:sz w:val="32"/>
          <w:szCs w:val="32"/>
        </w:rPr>
        <w:t>16</w:t>
      </w:r>
      <w:r>
        <w:rPr>
          <w:rFonts w:hint="eastAsia" w:ascii="仿宋_GB2312" w:hAnsi="仿宋_GB2312" w:eastAsia="仿宋_GB2312" w:cs="仿宋_GB2312"/>
          <w:kern w:val="0"/>
          <w:sz w:val="32"/>
          <w:szCs w:val="32"/>
        </w:rPr>
        <w:t>周岁以上的家庭成员，纳入征地社保补贴对象范围，农村集体经济组织另有规定的（如实行土地股份制经济或者集体统一经营土地等情况），可从其规定。</w:t>
      </w:r>
    </w:p>
    <w:p>
      <w:pPr>
        <w:ind w:firstLine="640" w:firstLineChars="200"/>
        <w:jc w:val="left"/>
        <w:rPr>
          <w:rFonts w:ascii="仿宋_GB2312" w:hAnsi="仿宋_GB2312" w:eastAsia="仿宋_GB2312" w:cs="仿宋_GB2312"/>
          <w:kern w:val="0"/>
          <w:sz w:val="32"/>
          <w:szCs w:val="32"/>
        </w:rPr>
      </w:pPr>
    </w:p>
    <w:p>
      <w:pPr>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附表：征地土地和养老保障情况一览表</w:t>
      </w:r>
    </w:p>
    <w:p>
      <w:pPr>
        <w:ind w:firstLine="640" w:firstLineChars="200"/>
        <w:jc w:val="left"/>
        <w:rPr>
          <w:rFonts w:hint="eastAsia" w:ascii="仿宋_GB2312" w:hAnsi="仿宋_GB2312" w:eastAsia="仿宋_GB2312" w:cs="仿宋_GB2312"/>
          <w:kern w:val="0"/>
          <w:sz w:val="32"/>
          <w:szCs w:val="32"/>
          <w:lang w:val="en-US" w:eastAsia="zh-CN"/>
        </w:rPr>
      </w:pPr>
    </w:p>
    <w:p>
      <w:pPr>
        <w:jc w:val="left"/>
        <w:rPr>
          <w:rFonts w:hint="eastAsia" w:ascii="仿宋_GB2312" w:hAnsi="仿宋_GB2312" w:eastAsia="仿宋_GB2312" w:cs="仿宋_GB2312"/>
          <w:kern w:val="0"/>
          <w:sz w:val="32"/>
          <w:szCs w:val="32"/>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附表：</w:t>
      </w: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w:t>
      </w:r>
      <w:r>
        <w:rPr>
          <w:rFonts w:hint="eastAsia" w:ascii="Times New Roman" w:hAnsi="Times New Roman" w:eastAsia="方正小标宋简体" w:cs="Times New Roman"/>
          <w:sz w:val="44"/>
          <w:szCs w:val="44"/>
          <w:lang w:eastAsia="zh-CN"/>
        </w:rPr>
        <w:t>地</w:t>
      </w:r>
      <w:r>
        <w:rPr>
          <w:rFonts w:hint="default" w:ascii="Times New Roman" w:hAnsi="Times New Roman" w:eastAsia="方正小标宋简体" w:cs="Times New Roman"/>
          <w:sz w:val="44"/>
          <w:szCs w:val="44"/>
        </w:rPr>
        <w:t>土地</w:t>
      </w:r>
      <w:r>
        <w:rPr>
          <w:rFonts w:hint="eastAsia" w:ascii="Times New Roman" w:hAnsi="Times New Roman" w:eastAsia="方正小标宋简体" w:cs="Times New Roman"/>
          <w:sz w:val="44"/>
          <w:szCs w:val="44"/>
          <w:lang w:eastAsia="zh-CN"/>
        </w:rPr>
        <w:t>和</w:t>
      </w:r>
      <w:r>
        <w:rPr>
          <w:rFonts w:hint="default" w:ascii="Times New Roman" w:hAnsi="Times New Roman" w:eastAsia="方正小标宋简体" w:cs="Times New Roman"/>
          <w:sz w:val="44"/>
          <w:szCs w:val="44"/>
        </w:rPr>
        <w:t>养老保障情况</w:t>
      </w:r>
      <w:r>
        <w:rPr>
          <w:rFonts w:hint="eastAsia" w:ascii="Times New Roman" w:hAnsi="Times New Roman" w:eastAsia="方正小标宋简体" w:cs="Times New Roman"/>
          <w:sz w:val="44"/>
          <w:szCs w:val="44"/>
          <w:lang w:eastAsia="zh-CN"/>
        </w:rPr>
        <w:t>一览</w:t>
      </w:r>
      <w:r>
        <w:rPr>
          <w:rFonts w:hint="default" w:ascii="Times New Roman" w:hAnsi="Times New Roman" w:eastAsia="方正小标宋简体" w:cs="Times New Roman"/>
          <w:sz w:val="44"/>
          <w:szCs w:val="44"/>
        </w:rPr>
        <w:t>表</w:t>
      </w:r>
    </w:p>
    <w:p>
      <w:pPr>
        <w:ind w:firstLine="640" w:firstLineChars="200"/>
        <w:jc w:val="right"/>
        <w:rPr>
          <w:rFonts w:eastAsia="仿宋_GB2312"/>
          <w:sz w:val="32"/>
          <w:szCs w:val="32"/>
        </w:rPr>
      </w:pPr>
      <w:r>
        <w:rPr>
          <w:rFonts w:hint="eastAsia" w:eastAsia="仿宋_GB2312"/>
          <w:sz w:val="32"/>
          <w:szCs w:val="32"/>
        </w:rPr>
        <w:t>单位：亩、万元</w:t>
      </w:r>
    </w:p>
    <w:tbl>
      <w:tblPr>
        <w:tblStyle w:val="3"/>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44"/>
        <w:gridCol w:w="2983"/>
        <w:gridCol w:w="1400"/>
        <w:gridCol w:w="144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7" w:hRule="atLeast"/>
          <w:jc w:val="center"/>
        </w:trPr>
        <w:tc>
          <w:tcPr>
            <w:tcW w:w="3927" w:type="dxa"/>
            <w:gridSpan w:val="2"/>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1400" w:type="dxa"/>
            <w:vMerge w:val="restart"/>
            <w:shd w:val="clear" w:color="auto" w:fill="FFFFFF"/>
            <w:vAlign w:val="center"/>
          </w:tcPr>
          <w:p>
            <w:pPr>
              <w:keepNext w:val="0"/>
              <w:keepLines w:val="0"/>
              <w:widowControl/>
              <w:suppressLineNumbers w:val="0"/>
              <w:jc w:val="center"/>
              <w:textAlignment w:val="center"/>
              <w:rPr>
                <w:rFonts w:hint="eastAsia" w:ascii="Times New Roman" w:hAnsi="Times New Roman" w:cs="Times New Roman" w:eastAsiaTheme="minorEastAsia"/>
                <w:sz w:val="22"/>
                <w:szCs w:val="22"/>
                <w:lang w:val="en-US" w:eastAsia="zh-CN"/>
              </w:rPr>
            </w:pPr>
            <w:r>
              <w:rPr>
                <w:rFonts w:hint="eastAsia" w:ascii="Times New Roman" w:hAnsi="Times New Roman" w:eastAsia="仿宋_GB2312" w:cs="Times New Roman"/>
                <w:sz w:val="24"/>
                <w:lang w:eastAsia="zh-CN"/>
              </w:rPr>
              <w:t>征收集体土地面积（亩）</w:t>
            </w:r>
          </w:p>
        </w:tc>
        <w:tc>
          <w:tcPr>
            <w:tcW w:w="1440" w:type="dxa"/>
            <w:vMerge w:val="restart"/>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仿宋_GB2312" w:cs="Times New Roman"/>
                <w:sz w:val="24"/>
                <w:lang w:eastAsia="zh-CN"/>
              </w:rPr>
              <w:t>其中属于被征地单位留用地面积</w:t>
            </w:r>
          </w:p>
        </w:tc>
        <w:tc>
          <w:tcPr>
            <w:tcW w:w="1770" w:type="dxa"/>
            <w:vMerge w:val="restart"/>
            <w:shd w:val="clear" w:color="auto" w:fill="FFFFFF"/>
            <w:vAlign w:val="center"/>
          </w:tcPr>
          <w:p>
            <w:pPr>
              <w:spacing w:line="320" w:lineRule="exact"/>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需计提</w:t>
            </w:r>
            <w:r>
              <w:rPr>
                <w:rFonts w:hint="eastAsia" w:ascii="Times New Roman" w:hAnsi="Times New Roman" w:eastAsia="仿宋_GB2312" w:cs="Times New Roman"/>
                <w:sz w:val="24"/>
                <w:lang w:eastAsia="zh-CN"/>
              </w:rPr>
              <w:t>征地社保费（万元）</w:t>
            </w:r>
          </w:p>
          <w:p>
            <w:pPr>
              <w:keepNext w:val="0"/>
              <w:keepLines w:val="0"/>
              <w:widowControl/>
              <w:suppressLineNumbers w:val="0"/>
              <w:jc w:val="center"/>
              <w:textAlignment w:val="center"/>
              <w:rPr>
                <w:rFonts w:hint="default" w:ascii="Times New Roman" w:hAnsi="Times New Roman"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1" w:hRule="atLeast"/>
          <w:jc w:val="center"/>
        </w:trPr>
        <w:tc>
          <w:tcPr>
            <w:tcW w:w="944" w:type="dxa"/>
            <w:shd w:val="clear" w:color="auto" w:fill="FFFFFF"/>
            <w:noWrap/>
            <w:vAlign w:val="center"/>
          </w:tcPr>
          <w:p>
            <w:pPr>
              <w:spacing w:line="360" w:lineRule="exact"/>
              <w:jc w:val="center"/>
              <w:rPr>
                <w:rFonts w:hint="default" w:ascii="Times New Roman" w:hAnsi="Times New Roman" w:eastAsia="仿宋_GB2312" w:cs="Times New Roman"/>
                <w:sz w:val="24"/>
                <w:lang w:val="en-US"/>
              </w:rPr>
            </w:pPr>
            <w:r>
              <w:rPr>
                <w:rFonts w:hint="eastAsia" w:ascii="Times New Roman" w:hAnsi="Times New Roman" w:eastAsia="仿宋_GB2312" w:cs="Times New Roman"/>
                <w:sz w:val="24"/>
                <w:lang w:val="en-US" w:eastAsia="zh-CN"/>
              </w:rPr>
              <w:t>镇/街</w:t>
            </w:r>
          </w:p>
        </w:tc>
        <w:tc>
          <w:tcPr>
            <w:tcW w:w="298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i w:val="0"/>
                <w:color w:val="000000"/>
                <w:kern w:val="0"/>
                <w:sz w:val="24"/>
                <w:szCs w:val="24"/>
                <w:u w:val="none"/>
                <w:lang w:val="en-US" w:eastAsia="zh-CN" w:bidi="ar"/>
              </w:rPr>
              <w:t>经济合作社/经济联合社</w:t>
            </w:r>
          </w:p>
        </w:tc>
        <w:tc>
          <w:tcPr>
            <w:tcW w:w="1400" w:type="dxa"/>
            <w:vMerge w:val="continue"/>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p>
        </w:tc>
        <w:tc>
          <w:tcPr>
            <w:tcW w:w="1440" w:type="dxa"/>
            <w:vMerge w:val="continue"/>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p>
        </w:tc>
        <w:tc>
          <w:tcPr>
            <w:tcW w:w="1770" w:type="dxa"/>
            <w:vMerge w:val="continue"/>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6" w:hRule="atLeast"/>
          <w:jc w:val="center"/>
        </w:trPr>
        <w:tc>
          <w:tcPr>
            <w:tcW w:w="944" w:type="dxa"/>
            <w:vMerge w:val="restart"/>
            <w:shd w:val="clear" w:color="auto" w:fill="FFFFFF"/>
            <w:noWrap/>
            <w:vAlign w:val="center"/>
          </w:tcPr>
          <w:p>
            <w:pPr>
              <w:widowControl/>
              <w:spacing w:line="280" w:lineRule="exact"/>
              <w:jc w:val="center"/>
              <w:textAlignment w:val="center"/>
              <w:rPr>
                <w:rFonts w:hint="eastAsia" w:ascii="仿宋_GB2312" w:hAnsi="仿宋_GB2312" w:eastAsia="仿宋_GB2312" w:cs="仿宋_GB2312"/>
                <w:color w:val="000000"/>
                <w:kern w:val="0"/>
                <w:sz w:val="22"/>
                <w:lang w:val="en-US" w:eastAsia="zh-CN"/>
              </w:rPr>
            </w:pPr>
            <w:r>
              <w:rPr>
                <w:rFonts w:hint="eastAsia" w:ascii="仿宋_GB2312" w:hAnsi="仿宋_GB2312" w:eastAsia="仿宋_GB2312" w:cs="仿宋_GB2312"/>
                <w:color w:val="000000"/>
                <w:kern w:val="0"/>
                <w:sz w:val="22"/>
                <w:lang w:val="en-US" w:eastAsia="zh-CN"/>
              </w:rPr>
              <w:t>九</w:t>
            </w:r>
          </w:p>
          <w:p>
            <w:pPr>
              <w:widowControl/>
              <w:spacing w:line="280" w:lineRule="exact"/>
              <w:jc w:val="center"/>
              <w:textAlignment w:val="center"/>
              <w:rPr>
                <w:rFonts w:hint="eastAsia" w:ascii="仿宋_GB2312" w:hAnsi="仿宋_GB2312" w:eastAsia="仿宋_GB2312" w:cs="仿宋_GB2312"/>
                <w:color w:val="000000"/>
                <w:kern w:val="0"/>
                <w:sz w:val="22"/>
                <w:lang w:val="en-US" w:eastAsia="zh-CN"/>
              </w:rPr>
            </w:pPr>
            <w:r>
              <w:rPr>
                <w:rFonts w:hint="eastAsia" w:ascii="仿宋_GB2312" w:hAnsi="仿宋_GB2312" w:eastAsia="仿宋_GB2312" w:cs="仿宋_GB2312"/>
                <w:color w:val="000000"/>
                <w:kern w:val="0"/>
                <w:sz w:val="22"/>
                <w:lang w:val="en-US" w:eastAsia="zh-CN"/>
              </w:rPr>
              <w:t>佛</w:t>
            </w:r>
          </w:p>
          <w:p>
            <w:pPr>
              <w:widowControl/>
              <w:spacing w:line="280" w:lineRule="exact"/>
              <w:jc w:val="center"/>
              <w:textAlignment w:val="center"/>
              <w:rPr>
                <w:rFonts w:hint="eastAsia" w:ascii="Times New Roman" w:hAnsi="Times New Roman" w:eastAsia="仿宋_GB2312" w:cs="Times New Roman"/>
                <w:sz w:val="24"/>
                <w:lang w:eastAsia="zh-CN"/>
              </w:rPr>
            </w:pPr>
            <w:r>
              <w:rPr>
                <w:rFonts w:hint="eastAsia" w:ascii="仿宋_GB2312" w:hAnsi="仿宋_GB2312" w:eastAsia="仿宋_GB2312" w:cs="仿宋_GB2312"/>
                <w:color w:val="000000"/>
                <w:kern w:val="0"/>
                <w:sz w:val="22"/>
                <w:lang w:val="en-US" w:eastAsia="zh-CN"/>
              </w:rPr>
              <w:t>街</w:t>
            </w:r>
          </w:p>
        </w:tc>
        <w:tc>
          <w:tcPr>
            <w:tcW w:w="2983"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2"/>
                <w:szCs w:val="22"/>
                <w:lang w:val="en-US" w:eastAsia="zh-CN"/>
              </w:rPr>
              <w:t>佛塱村佛塱经济合作社</w:t>
            </w:r>
          </w:p>
        </w:tc>
        <w:tc>
          <w:tcPr>
            <w:tcW w:w="140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92.9685 </w:t>
            </w:r>
          </w:p>
        </w:tc>
        <w:tc>
          <w:tcPr>
            <w:tcW w:w="144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770"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229.64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6" w:hRule="atLeast"/>
          <w:jc w:val="center"/>
        </w:trPr>
        <w:tc>
          <w:tcPr>
            <w:tcW w:w="944" w:type="dxa"/>
            <w:vMerge w:val="continue"/>
            <w:shd w:val="clear" w:color="auto" w:fill="FFFFFF"/>
            <w:noWrap/>
            <w:vAlign w:val="center"/>
          </w:tcPr>
          <w:p>
            <w:pPr>
              <w:widowControl/>
              <w:spacing w:line="280" w:lineRule="exact"/>
              <w:jc w:val="center"/>
              <w:textAlignment w:val="center"/>
              <w:rPr>
                <w:rFonts w:hint="eastAsia" w:ascii="仿宋_GB2312" w:hAnsi="仿宋_GB2312" w:eastAsia="仿宋_GB2312" w:cs="仿宋_GB2312"/>
                <w:color w:val="000000"/>
                <w:kern w:val="0"/>
                <w:sz w:val="22"/>
                <w:lang w:val="en-US" w:eastAsia="zh-CN"/>
              </w:rPr>
            </w:pPr>
          </w:p>
        </w:tc>
        <w:tc>
          <w:tcPr>
            <w:tcW w:w="2983"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val="en-US" w:eastAsia="zh-CN"/>
              </w:rPr>
              <w:t>佛塱村长塘经济合作社</w:t>
            </w:r>
          </w:p>
        </w:tc>
        <w:tc>
          <w:tcPr>
            <w:tcW w:w="140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14.5095 </w:t>
            </w:r>
          </w:p>
        </w:tc>
        <w:tc>
          <w:tcPr>
            <w:tcW w:w="144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770"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3927" w:type="dxa"/>
            <w:gridSpan w:val="2"/>
            <w:shd w:val="clear" w:color="auto" w:fill="FFFFFF"/>
            <w:noWrap/>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b/>
                <w:bCs/>
                <w:sz w:val="22"/>
                <w:szCs w:val="22"/>
              </w:rPr>
              <w:t>合计</w:t>
            </w:r>
          </w:p>
        </w:tc>
        <w:tc>
          <w:tcPr>
            <w:tcW w:w="140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 xml:space="preserve">107.4780 </w:t>
            </w:r>
          </w:p>
        </w:tc>
        <w:tc>
          <w:tcPr>
            <w:tcW w:w="144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highlight w:val="none"/>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0.0000</w:t>
            </w:r>
          </w:p>
        </w:tc>
        <w:tc>
          <w:tcPr>
            <w:tcW w:w="1770"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265.48</w:t>
            </w:r>
          </w:p>
        </w:tc>
      </w:tr>
    </w:tbl>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说明：</w:t>
      </w:r>
    </w:p>
    <w:p>
      <w:pPr>
        <w:numPr>
          <w:ilvl w:val="0"/>
          <w:numId w:val="1"/>
        </w:numPr>
        <w:ind w:firstLine="480" w:firstLineChars="200"/>
        <w:jc w:val="lef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征地社保费计提标准2.47万元/亩，征地社保费计算结果向上区整、精确到百元。</w:t>
      </w:r>
    </w:p>
    <w:p>
      <w:pPr>
        <w:numPr>
          <w:ilvl w:val="0"/>
          <w:numId w:val="1"/>
        </w:numPr>
        <w:ind w:firstLine="480" w:firstLineChars="200"/>
        <w:jc w:val="lef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被征收土地属于农村集体经济组织留用地的，不计提征地社保费。</w:t>
      </w:r>
    </w:p>
    <w:p>
      <w:pPr>
        <w:ind w:firstLine="640" w:firstLineChars="200"/>
        <w:jc w:val="left"/>
        <w:rPr>
          <w:rFonts w:hint="eastAsia" w:ascii="仿宋_GB2312" w:hAnsi="仿宋_GB2312" w:eastAsia="仿宋_GB2312" w:cs="仿宋_GB2312"/>
          <w:kern w:val="0"/>
          <w:sz w:val="32"/>
          <w:szCs w:val="32"/>
          <w:lang w:val="en-US" w:eastAsia="zh-CN"/>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rPr>
          <w:rFonts w:hint="default" w:ascii="仿宋_GB2312" w:hAnsi="仿宋_GB2312" w:eastAsia="仿宋_GB2312" w:cs="仿宋_GB2312"/>
          <w:kern w:val="0"/>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日</w:t>
      </w:r>
      <w:bookmarkStart w:id="0" w:name="_GoBack"/>
      <w:bookmarkEnd w:id="0"/>
    </w:p>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CE27"/>
    <w:multiLevelType w:val="singleLevel"/>
    <w:tmpl w:val="1FC6CE2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Dc5MjJjMmYxYTg0ZDc1OWNiNDVhMDQxZTE5YmYifQ=="/>
  </w:docVars>
  <w:rsids>
    <w:rsidRoot w:val="0B4B15E0"/>
    <w:rsid w:val="00C4504B"/>
    <w:rsid w:val="077346EA"/>
    <w:rsid w:val="0AC41770"/>
    <w:rsid w:val="0B4B15E0"/>
    <w:rsid w:val="12ED5A93"/>
    <w:rsid w:val="15E30DAF"/>
    <w:rsid w:val="17DF06DD"/>
    <w:rsid w:val="181D1914"/>
    <w:rsid w:val="18B062E9"/>
    <w:rsid w:val="1F163820"/>
    <w:rsid w:val="20F94B52"/>
    <w:rsid w:val="24B628A3"/>
    <w:rsid w:val="24C32C4D"/>
    <w:rsid w:val="26DD442F"/>
    <w:rsid w:val="2721598A"/>
    <w:rsid w:val="2BEE5883"/>
    <w:rsid w:val="2FE431A1"/>
    <w:rsid w:val="32634CBB"/>
    <w:rsid w:val="3B055B59"/>
    <w:rsid w:val="470D3DEB"/>
    <w:rsid w:val="4F7207DC"/>
    <w:rsid w:val="53B872F6"/>
    <w:rsid w:val="55171365"/>
    <w:rsid w:val="567E3A79"/>
    <w:rsid w:val="61F45A23"/>
    <w:rsid w:val="63230DB1"/>
    <w:rsid w:val="639B24D9"/>
    <w:rsid w:val="67BC7440"/>
    <w:rsid w:val="6F073BDA"/>
    <w:rsid w:val="711836F3"/>
    <w:rsid w:val="73FE76BB"/>
    <w:rsid w:val="741661E7"/>
    <w:rsid w:val="74CE2B38"/>
    <w:rsid w:val="78186E91"/>
    <w:rsid w:val="7ADF3369"/>
    <w:rsid w:val="7B157FA3"/>
    <w:rsid w:val="7B597A93"/>
    <w:rsid w:val="7EAA68E4"/>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2069</Words>
  <Characters>2426</Characters>
  <Lines>0</Lines>
  <Paragraphs>0</Paragraphs>
  <TotalTime>5</TotalTime>
  <ScaleCrop>false</ScaleCrop>
  <LinksUpToDate>false</LinksUpToDate>
  <CharactersWithSpaces>2526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剑锋</cp:lastModifiedBy>
  <cp:lastPrinted>2022-09-01T06:19:00Z</cp:lastPrinted>
  <dcterms:modified xsi:type="dcterms:W3CDTF">2024-05-30T08:17:27Z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E3871CC0A26D4F43ADF65FE0B46EDFB7</vt:lpwstr>
  </property>
</Properties>
</file>