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72"/>
        <w:rPr>
          <w:rFonts w:hint="eastAsia"/>
        </w:rPr>
      </w:pPr>
    </w:p>
    <w:p>
      <w:pPr>
        <w:spacing w:line="560" w:lineRule="exact"/>
        <w:jc w:val="center"/>
        <w:rPr>
          <w:rFonts w:hint="eastAsia" w:ascii="方正小标宋简体" w:hAnsi="仿宋" w:eastAsia="方正小标宋简体" w:cs="宋体"/>
          <w:bCs/>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sz w:val="44"/>
          <w:szCs w:val="44"/>
        </w:rPr>
        <w:t>于</w:t>
      </w:r>
      <w:r>
        <w:rPr>
          <w:rFonts w:hint="eastAsia" w:ascii="方正小标宋简体" w:hAnsi="仿宋" w:eastAsia="方正小标宋简体" w:cs="宋体"/>
          <w:bCs/>
          <w:sz w:val="44"/>
          <w:szCs w:val="44"/>
          <w:lang w:eastAsia="zh-CN"/>
        </w:rPr>
        <w:t>广州市南沙区</w:t>
      </w:r>
      <w:r>
        <w:rPr>
          <w:rFonts w:hint="eastAsia" w:ascii="方正小标宋简体" w:hAnsi="仿宋" w:eastAsia="方正小标宋简体" w:cs="宋体"/>
          <w:bCs/>
          <w:sz w:val="44"/>
          <w:szCs w:val="44"/>
          <w:lang w:val="en-US" w:eastAsia="zh-CN"/>
        </w:rPr>
        <w:t>2023年度第七十八批次</w:t>
      </w:r>
    </w:p>
    <w:p>
      <w:pPr>
        <w:spacing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仿宋" w:eastAsia="方正小标宋简体" w:cs="宋体"/>
          <w:bCs/>
          <w:sz w:val="44"/>
          <w:szCs w:val="44"/>
          <w:lang w:val="en-US" w:eastAsia="zh-CN"/>
        </w:rPr>
        <w:t>城镇建设用地</w:t>
      </w:r>
      <w:r>
        <w:rPr>
          <w:rFonts w:hint="eastAsia" w:ascii="方正小标宋简体" w:hAnsi="仿宋" w:eastAsia="方正小标宋简体" w:cs="宋体"/>
          <w:bCs/>
          <w:sz w:val="44"/>
          <w:szCs w:val="44"/>
        </w:rPr>
        <w:t>项目</w:t>
      </w:r>
      <w:r>
        <w:rPr>
          <w:rFonts w:hint="eastAsia" w:ascii="方正小标宋简体" w:hAnsi="方正小标宋简体" w:eastAsia="方正小标宋简体" w:cs="方正小标宋简体"/>
          <w:bCs/>
          <w:color w:val="000000"/>
          <w:sz w:val="44"/>
          <w:szCs w:val="44"/>
        </w:rPr>
        <w:t>被征地农民</w:t>
      </w:r>
    </w:p>
    <w:p>
      <w:pPr>
        <w:spacing w:line="560" w:lineRule="exact"/>
        <w:jc w:val="center"/>
        <w:rPr>
          <w:rFonts w:ascii="方正小标宋简体" w:hAnsi="仿宋" w:eastAsia="方正小标宋简体" w:cs="宋体"/>
          <w:bCs/>
          <w:sz w:val="44"/>
          <w:szCs w:val="44"/>
        </w:rPr>
      </w:pPr>
      <w:r>
        <w:rPr>
          <w:rFonts w:hint="eastAsia" w:ascii="方正小标宋简体" w:hAnsi="方正小标宋简体" w:eastAsia="方正小标宋简体" w:cs="方正小标宋简体"/>
          <w:bCs/>
          <w:color w:val="000000"/>
          <w:sz w:val="44"/>
          <w:szCs w:val="44"/>
        </w:rPr>
        <w:t>养老保障方案</w:t>
      </w:r>
    </w:p>
    <w:p>
      <w:pPr>
        <w:widowControl/>
        <w:shd w:val="clear" w:color="auto" w:fill="FFFFFF"/>
        <w:spacing w:line="540" w:lineRule="exact"/>
        <w:jc w:val="left"/>
        <w:rPr>
          <w:rFonts w:ascii="仿宋_GB2312" w:hAnsi="仿宋_GB2312" w:cs="仿宋_GB2312"/>
          <w:color w:val="000000"/>
          <w:kern w:val="0"/>
          <w:shd w:val="clear" w:color="auto" w:fill="FFFFFF"/>
          <w:lang w:bidi="ar"/>
        </w:rPr>
      </w:pP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仿宋_GB2312" w:hAnsi="仿宋_GB2312" w:eastAsia="仿宋_GB2312" w:cs="仿宋_GB2312"/>
          <w:kern w:val="0"/>
          <w:sz w:val="32"/>
          <w:szCs w:val="32"/>
          <w:shd w:val="clear" w:color="auto" w:fill="FFFFFF"/>
          <w:lang w:bidi="ar"/>
        </w:rPr>
        <w:t>依照</w:t>
      </w:r>
      <w:r>
        <w:rPr>
          <w:rFonts w:hint="eastAsia" w:ascii="仿宋_GB2312" w:hAnsi="仿宋_GB2312" w:eastAsia="仿宋_GB2312" w:cs="仿宋_GB2312"/>
          <w:sz w:val="32"/>
          <w:szCs w:val="32"/>
        </w:rPr>
        <w:t>《中华人民共和国土地管理法》、</w:t>
      </w:r>
      <w:r>
        <w:rPr>
          <w:rFonts w:hint="eastAsia" w:ascii="仿宋_GB2312" w:hAnsi="仿宋_GB2312" w:eastAsia="仿宋_GB2312" w:cs="仿宋_GB2312"/>
          <w:kern w:val="0"/>
          <w:sz w:val="32"/>
          <w:szCs w:val="32"/>
          <w:shd w:val="clear" w:color="auto" w:fill="FFFFFF"/>
          <w:lang w:bidi="ar"/>
        </w:rPr>
        <w:t>《关于切实做好被征地农民社会保障工作有关问题的通知》（劳社部发〔2007〕</w:t>
      </w:r>
      <w:r>
        <w:rPr>
          <w:rFonts w:hint="eastAsia" w:ascii="Times New Roman" w:hAnsi="Times New Roman" w:eastAsia="仿宋_GB2312" w:cs="Times New Roman"/>
          <w:color w:val="000000"/>
          <w:kern w:val="2"/>
          <w:sz w:val="32"/>
          <w:szCs w:val="48"/>
          <w:lang w:val="en-US" w:eastAsia="zh-CN" w:bidi="ar-SA"/>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2023年度第七十八批次城镇建设用地项目被征地农民养老保障方案如下：</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kern w:val="2"/>
          <w:sz w:val="32"/>
          <w:szCs w:val="48"/>
          <w:lang w:val="en-US" w:eastAsia="zh-CN" w:bidi="ar-SA"/>
        </w:rPr>
        <w:t>依据市规划和自然资源局南沙区分局提供情况，广州市南沙区2023年度第七十八批次城镇建设用地项目征收我区黄阁镇留东经济联合社土地面积共474.575亩，全部属于被征地农村集体经济组织留用地。按粤府办〔2021〕22</w:t>
      </w:r>
      <w:r>
        <w:rPr>
          <w:rFonts w:hint="eastAsia" w:ascii="仿宋_GB2312" w:hAnsi="仿宋_GB2312" w:eastAsia="仿宋_GB2312" w:cs="仿宋_GB2312"/>
          <w:kern w:val="0"/>
          <w:sz w:val="32"/>
          <w:szCs w:val="32"/>
          <w:shd w:val="clear" w:color="auto" w:fill="FFFFFF"/>
          <w:lang w:bidi="ar"/>
        </w:rPr>
        <w:t>号文第二点</w:t>
      </w:r>
      <w:r>
        <w:rPr>
          <w:rFonts w:hint="eastAsia" w:ascii="仿宋_GB2312" w:hAnsi="仿宋_GB2312" w:eastAsia="仿宋_GB2312" w:cs="仿宋_GB2312"/>
          <w:sz w:val="32"/>
          <w:szCs w:val="32"/>
        </w:rPr>
        <w:t>规定，该项目不计提征地社保费。</w:t>
      </w:r>
    </w:p>
    <w:p>
      <w:pPr>
        <w:tabs>
          <w:tab w:val="left" w:pos="5402"/>
        </w:tabs>
        <w:ind w:firstLine="640" w:firstLineChars="200"/>
        <w:rPr>
          <w:rFonts w:hint="eastAsia" w:ascii="仿宋_GB2312" w:hAnsi="仿宋_GB2312" w:eastAsia="仿宋_GB2312" w:cs="仿宋_GB2312"/>
          <w:sz w:val="32"/>
          <w:szCs w:val="32"/>
        </w:rPr>
      </w:pPr>
    </w:p>
    <w:p>
      <w:pPr>
        <w:spacing w:line="600" w:lineRule="exact"/>
        <w:ind w:right="210" w:firstLine="640" w:firstLineChars="200"/>
        <w:jc w:val="both"/>
        <w:rPr>
          <w:rFonts w:eastAsia="方正小标宋简体"/>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：征收土地及养老保障情况表</w:t>
      </w:r>
    </w:p>
    <w:p>
      <w:pPr>
        <w:tabs>
          <w:tab w:val="left" w:pos="5402"/>
        </w:tabs>
        <w:ind w:firstLine="640" w:firstLineChars="200"/>
        <w:rPr>
          <w:rFonts w:hint="eastAsia" w:ascii="仿宋_GB2312" w:hAnsi="仿宋_GB2312" w:eastAsia="仿宋_GB2312" w:cs="仿宋_GB2312"/>
          <w:sz w:val="32"/>
          <w:szCs w:val="32"/>
        </w:rPr>
      </w:pPr>
    </w:p>
    <w:p>
      <w:pPr>
        <w:tabs>
          <w:tab w:val="left" w:pos="5402"/>
        </w:tabs>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sz w:val="32"/>
          <w:szCs w:val="32"/>
        </w:rPr>
        <w:t xml:space="preserve">   </w:t>
      </w:r>
    </w:p>
    <w:p>
      <w:pPr>
        <w:widowControl/>
        <w:shd w:val="clear" w:color="auto" w:fill="FFFFFF"/>
        <w:spacing w:before="289" w:beforeLines="50"/>
        <w:ind w:firstLine="3840" w:firstLineChars="1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auto"/>
          <w:sz w:val="32"/>
          <w:szCs w:val="32"/>
          <w:lang w:eastAsia="zh-CN"/>
        </w:rPr>
        <w:t>广州市南沙区黄阁</w:t>
      </w:r>
      <w:r>
        <w:rPr>
          <w:rFonts w:hint="eastAsia" w:ascii="仿宋_GB2312" w:hAnsi="仿宋_GB2312" w:eastAsia="仿宋_GB2312" w:cs="仿宋_GB2312"/>
          <w:color w:val="auto"/>
          <w:sz w:val="32"/>
          <w:szCs w:val="32"/>
        </w:rPr>
        <w:t>镇人民政府</w:t>
      </w:r>
    </w:p>
    <w:p>
      <w:pPr>
        <w:widowControl/>
        <w:shd w:val="clear" w:color="auto" w:fill="FFFFFF"/>
        <w:ind w:firstLine="3814" w:firstLineChars="1192"/>
        <w:jc w:val="left"/>
        <w:rPr>
          <w:rFonts w:hint="eastAsia" w:ascii="黑体" w:hAnsi="黑体" w:eastAsia="黑体" w:cs="黑体"/>
          <w:sz w:val="32"/>
          <w:szCs w:val="32"/>
          <w:lang w:eastAsia="zh-CN"/>
        </w:rPr>
      </w:pPr>
      <w:r>
        <w:rPr>
          <w:rFonts w:hint="eastAsia" w:ascii="仿宋_GB2312" w:hAnsi="仿宋_GB2312" w:eastAsia="仿宋_GB2312" w:cs="仿宋_GB2312"/>
          <w:color w:val="000000"/>
          <w:kern w:val="0"/>
          <w:sz w:val="32"/>
          <w:szCs w:val="32"/>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val="en-US" w:eastAsia="zh-CN" w:bidi="ar"/>
        </w:rPr>
        <w:t>2023</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shd w:val="clear" w:color="auto" w:fill="FFFFFF"/>
          <w:lang w:val="en-US" w:eastAsia="zh-CN" w:bidi="ar"/>
        </w:rPr>
        <w:t>11</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shd w:val="clear" w:color="auto" w:fill="FFFFFF"/>
          <w:lang w:val="en-US" w:eastAsia="zh-CN" w:bidi="ar"/>
        </w:rPr>
        <w:t>2</w:t>
      </w:r>
      <w:r>
        <w:rPr>
          <w:rFonts w:hint="eastAsia" w:ascii="仿宋_GB2312" w:hAnsi="仿宋_GB2312" w:eastAsia="仿宋_GB2312" w:cs="仿宋_GB2312"/>
          <w:color w:val="000000"/>
          <w:kern w:val="0"/>
          <w:sz w:val="32"/>
          <w:szCs w:val="32"/>
          <w:shd w:val="clear" w:color="auto" w:fill="FFFFFF"/>
          <w:lang w:bidi="ar"/>
        </w:rPr>
        <w:t>日</w:t>
      </w:r>
      <w:bookmarkStart w:id="0" w:name="_GoBack"/>
      <w:bookmarkEnd w:id="0"/>
    </w:p>
    <w:p>
      <w:pPr>
        <w:rPr>
          <w:rFonts w:hint="eastAsia" w:ascii="宋体" w:hAnsi="宋体" w:eastAsia="宋体" w:cs="宋体"/>
          <w:sz w:val="32"/>
          <w:szCs w:val="32"/>
          <w:lang w:eastAsia="zh-CN"/>
        </w:rPr>
      </w:pPr>
      <w:r>
        <w:rPr>
          <w:rFonts w:hint="eastAsia" w:ascii="宋体" w:hAnsi="宋体" w:eastAsia="宋体" w:cs="宋体"/>
          <w:sz w:val="32"/>
          <w:szCs w:val="32"/>
          <w:lang w:eastAsia="zh-CN"/>
        </w:rPr>
        <w:t>附件</w:t>
      </w:r>
    </w:p>
    <w:p>
      <w:pPr>
        <w:spacing w:line="600" w:lineRule="exact"/>
        <w:ind w:right="210"/>
        <w:jc w:val="center"/>
        <w:rPr>
          <w:rFonts w:hint="eastAsia" w:eastAsia="方正小标宋简体"/>
          <w:sz w:val="44"/>
          <w:szCs w:val="44"/>
        </w:rPr>
      </w:pP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eastAsiaTheme="minorEastAsia"/>
                <w:kern w:val="0"/>
                <w:sz w:val="24"/>
                <w:szCs w:val="24"/>
                <w:lang w:eastAsia="zh-CN"/>
              </w:rPr>
            </w:pPr>
            <w:r>
              <w:rPr>
                <w:rFonts w:hint="eastAsia" w:ascii="仿宋_GB2312" w:hAnsi="仿宋_GB2312" w:cs="仿宋_GB2312"/>
                <w:kern w:val="0"/>
                <w:sz w:val="24"/>
                <w:szCs w:val="24"/>
                <w:lang w:eastAsia="zh-CN"/>
              </w:rPr>
              <w:t>黄阁镇</w:t>
            </w:r>
          </w:p>
        </w:tc>
        <w:tc>
          <w:tcPr>
            <w:tcW w:w="2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cs="仿宋_GB2312" w:eastAsiaTheme="minorEastAsia"/>
                <w:kern w:val="0"/>
                <w:sz w:val="24"/>
                <w:szCs w:val="24"/>
                <w:lang w:eastAsia="zh-CN"/>
              </w:rPr>
            </w:pPr>
            <w:r>
              <w:rPr>
                <w:rFonts w:hint="eastAsia" w:ascii="仿宋_GB2312" w:hAnsi="仿宋_GB2312" w:cs="仿宋_GB2312"/>
                <w:kern w:val="0"/>
                <w:sz w:val="24"/>
                <w:szCs w:val="24"/>
                <w:lang w:eastAsia="zh-CN"/>
              </w:rPr>
              <w:t>留东经济联合社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474.575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474.575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0" w:leftChars="0" w:firstLine="0"/>
              <w:jc w:val="center"/>
              <w:rPr>
                <w:rFonts w:hint="eastAsia" w:ascii="仿宋_GB2312" w:hAnsi="仿宋_GB2312" w:cs="仿宋_GB2312"/>
                <w:kern w:val="0"/>
                <w:sz w:val="24"/>
                <w:szCs w:val="24"/>
              </w:rPr>
            </w:pPr>
            <w:r>
              <w:rPr>
                <w:rFonts w:hint="eastAsia" w:ascii="仿宋_GB2312" w:hAnsi="仿宋_GB2312" w:cs="仿宋_GB2312"/>
                <w:kern w:val="0"/>
                <w:sz w:val="24"/>
                <w:szCs w:val="24"/>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eastAsiaTheme="minorEastAsia"/>
                <w:kern w:val="0"/>
                <w:sz w:val="24"/>
                <w:szCs w:val="24"/>
                <w:lang w:val="en-US" w:eastAsia="zh-CN" w:bidi="ar-SA"/>
              </w:rPr>
            </w:pPr>
            <w:r>
              <w:rPr>
                <w:rFonts w:hint="eastAsia" w:ascii="仿宋_GB2312" w:hAnsi="仿宋_GB2312" w:cs="仿宋_GB2312"/>
                <w:kern w:val="0"/>
                <w:sz w:val="24"/>
                <w:szCs w:val="24"/>
                <w:lang w:val="en-US" w:eastAsia="zh-CN"/>
              </w:rPr>
              <w:t>474.575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cs="仿宋_GB2312" w:eastAsiaTheme="minorEastAsia"/>
                <w:kern w:val="0"/>
                <w:sz w:val="24"/>
                <w:szCs w:val="24"/>
                <w:lang w:val="en-US" w:eastAsia="zh-CN" w:bidi="ar-SA"/>
              </w:rPr>
            </w:pPr>
            <w:r>
              <w:rPr>
                <w:rFonts w:hint="eastAsia" w:ascii="仿宋_GB2312" w:hAnsi="仿宋_GB2312" w:cs="仿宋_GB2312"/>
                <w:kern w:val="0"/>
                <w:sz w:val="24"/>
                <w:szCs w:val="24"/>
                <w:lang w:val="en-US" w:eastAsia="zh-CN"/>
              </w:rPr>
              <w:t>474.575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0</w:t>
            </w:r>
          </w:p>
        </w:tc>
      </w:tr>
    </w:tbl>
    <w:p>
      <w:pPr>
        <w:spacing w:line="320" w:lineRule="exact"/>
        <w:ind w:right="210"/>
        <w:jc w:val="left"/>
      </w:pPr>
      <w:r>
        <w:rPr>
          <w:rFonts w:hint="eastAsia"/>
          <w:sz w:val="28"/>
          <w:szCs w:val="28"/>
        </w:rPr>
        <w:t>说明：</w:t>
      </w:r>
      <w:r>
        <w:rPr>
          <w:sz w:val="28"/>
          <w:szCs w:val="28"/>
        </w:rPr>
        <w:t>被征收土地全部属于农村集体经济组织留用地的，按规定不计提征地社保费。</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ODJmNjczOWVlYTBhNWY4MmIzYjJlNWY3MWRjNzUifQ=="/>
  </w:docVars>
  <w:rsids>
    <w:rsidRoot w:val="1A481F03"/>
    <w:rsid w:val="140D0BA7"/>
    <w:rsid w:val="1A481F03"/>
    <w:rsid w:val="1C4E468B"/>
    <w:rsid w:val="34731336"/>
    <w:rsid w:val="482C4F08"/>
    <w:rsid w:val="4E2C2653"/>
    <w:rsid w:val="5CBA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2023-07-25T07:50:00Z</dcterms:created>
  <dc:creator>Administrator</dc:creator>
  <cp:lastModifiedBy>嘿嘿</cp:lastModifiedBy>
  <dcterms:modified xsi:type="dcterms:W3CDTF">2024-04-25T08:06:48Z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4CD0FEE698524464A36D52D33553780F</vt:lpwstr>
  </property>
</Properties>
</file>