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ind w:left="2505"/>
        <w:rPr>
          <w:rFonts w:ascii="方正小标宋简体" w:hAnsi="方正小标宋简体" w:eastAsia="方正小标宋简体" w:cs="方正小标宋简体"/>
          <w:color w:val="000000" w:themeColor="text1"/>
          <w:sz w:val="44"/>
          <w:szCs w:val="44"/>
          <w:lang w:eastAsia="zh-CN"/>
        </w:rPr>
      </w:pPr>
    </w:p>
    <w:p>
      <w:pPr>
        <w:spacing w:line="534" w:lineRule="exact"/>
        <w:ind w:left="2505"/>
        <w:rPr>
          <w:rFonts w:ascii="方正小标宋简体" w:hAnsi="方正小标宋简体" w:eastAsia="方正小标宋简体" w:cs="方正小标宋简体"/>
          <w:color w:val="000000" w:themeColor="text1"/>
          <w:sz w:val="44"/>
          <w:szCs w:val="44"/>
          <w:lang w:eastAsia="zh-CN"/>
        </w:rPr>
      </w:pPr>
    </w:p>
    <w:p>
      <w:pPr>
        <w:spacing w:line="534" w:lineRule="exact"/>
        <w:ind w:left="2505"/>
        <w:rPr>
          <w:rFonts w:ascii="方正小标宋简体" w:hAnsi="方正小标宋简体" w:eastAsia="方正小标宋简体" w:cs="方正小标宋简体"/>
          <w:color w:val="000000" w:themeColor="text1"/>
          <w:sz w:val="44"/>
          <w:szCs w:val="44"/>
          <w:lang w:eastAsia="zh-CN"/>
        </w:rPr>
      </w:pPr>
    </w:p>
    <w:p>
      <w:pPr>
        <w:spacing w:line="534" w:lineRule="exact"/>
        <w:ind w:left="2505"/>
        <w:rPr>
          <w:rFonts w:ascii="方正小标宋简体" w:hAnsi="方正小标宋简体" w:eastAsia="方正小标宋简体" w:cs="方正小标宋简体"/>
          <w:color w:val="000000" w:themeColor="text1"/>
          <w:sz w:val="44"/>
          <w:szCs w:val="44"/>
          <w:lang w:eastAsia="zh-CN"/>
        </w:rPr>
      </w:pPr>
      <w:r>
        <w:rPr>
          <w:rFonts w:hint="eastAsia" w:ascii="方正小标宋简体" w:hAnsi="方正小标宋简体" w:eastAsia="方正小标宋简体" w:cs="方正小标宋简体"/>
          <w:color w:val="000000" w:themeColor="text1"/>
          <w:sz w:val="44"/>
          <w:szCs w:val="44"/>
          <w:lang w:eastAsia="zh-CN"/>
        </w:rPr>
        <w:t>征地补偿安置方案</w:t>
      </w:r>
    </w:p>
    <w:p>
      <w:pPr>
        <w:spacing w:before="7"/>
        <w:rPr>
          <w:rFonts w:ascii="Adobe 黑体 Std R" w:hAnsi="Adobe 黑体 Std R" w:eastAsia="Adobe 黑体 Std R" w:cs="Adobe 黑体 Std R"/>
          <w:color w:val="000000" w:themeColor="text1"/>
          <w:sz w:val="34"/>
          <w:szCs w:val="34"/>
          <w:lang w:eastAsia="zh-CN"/>
        </w:rPr>
      </w:pPr>
    </w:p>
    <w:p>
      <w:pPr>
        <w:pStyle w:val="4"/>
        <w:wordWrap w:val="0"/>
        <w:spacing w:before="0" w:line="560" w:lineRule="exact"/>
        <w:ind w:left="0" w:firstLine="640" w:firstLineChars="200"/>
        <w:jc w:val="both"/>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为实施广州市</w:t>
      </w:r>
      <w:r>
        <w:rPr>
          <w:rFonts w:hint="eastAsia" w:ascii="仿宋_GB2312" w:hAnsi="仿宋_GB2312" w:eastAsia="仿宋_GB2312" w:cs="仿宋_GB2312"/>
          <w:color w:val="000000" w:themeColor="text1"/>
          <w:spacing w:val="-20"/>
          <w:lang w:eastAsia="zh-CN"/>
        </w:rPr>
        <w:t>花都</w:t>
      </w:r>
      <w:r>
        <w:rPr>
          <w:rFonts w:hint="eastAsia" w:ascii="仿宋_GB2312" w:hAnsi="仿宋_GB2312" w:eastAsia="仿宋_GB2312" w:cs="仿宋_GB2312"/>
          <w:color w:val="000000" w:themeColor="text1"/>
          <w:lang w:eastAsia="zh-CN"/>
        </w:rPr>
        <w:t>区</w:t>
      </w:r>
      <w:r>
        <w:rPr>
          <w:rFonts w:hint="eastAsia" w:ascii="仿宋_GB2312" w:hAnsi="仿宋_GB2312" w:eastAsia="仿宋_GB2312" w:cs="仿宋_GB2312"/>
          <w:color w:val="000000" w:themeColor="text1"/>
          <w:spacing w:val="-20"/>
          <w:lang w:eastAsia="zh-CN"/>
        </w:rPr>
        <w:t>炭步</w:t>
      </w:r>
      <w:r>
        <w:rPr>
          <w:rFonts w:hint="eastAsia" w:ascii="仿宋_GB2312" w:hAnsi="仿宋_GB2312" w:eastAsia="仿宋_GB2312" w:cs="仿宋_GB2312"/>
          <w:color w:val="000000" w:themeColor="text1"/>
          <w:lang w:eastAsia="zh-CN"/>
        </w:rPr>
        <w:t>镇建设规划，完善城市功</w:t>
      </w:r>
      <w:r>
        <w:rPr>
          <w:rFonts w:hint="eastAsia" w:ascii="仿宋_GB2312" w:hAnsi="仿宋_GB2312" w:eastAsia="仿宋_GB2312" w:cs="仿宋_GB2312"/>
          <w:color w:val="000000" w:themeColor="text1"/>
          <w:spacing w:val="6"/>
          <w:lang w:eastAsia="zh-CN"/>
        </w:rPr>
        <w:t>能，改善城市环境，促进经济、文化发展，广州市花都</w:t>
      </w:r>
      <w:r>
        <w:rPr>
          <w:rFonts w:hint="eastAsia" w:ascii="仿宋_GB2312" w:hAnsi="仿宋_GB2312" w:eastAsia="仿宋_GB2312" w:cs="仿宋_GB2312"/>
          <w:color w:val="000000" w:themeColor="text1"/>
          <w:spacing w:val="3"/>
          <w:lang w:eastAsia="zh-CN"/>
        </w:rPr>
        <w:t>区人</w:t>
      </w:r>
      <w:r>
        <w:rPr>
          <w:rFonts w:hint="eastAsia" w:ascii="仿宋_GB2312" w:hAnsi="仿宋_GB2312" w:eastAsia="仿宋_GB2312" w:cs="仿宋_GB2312"/>
          <w:color w:val="000000" w:themeColor="text1"/>
          <w:spacing w:val="5"/>
          <w:lang w:eastAsia="zh-CN"/>
        </w:rPr>
        <w:t>民政府拟征收</w:t>
      </w:r>
      <w:r>
        <w:rPr>
          <w:rFonts w:hint="eastAsia" w:ascii="仿宋_GB2312" w:hAnsi="仿宋_GB2312" w:eastAsia="仿宋_GB2312" w:cs="仿宋_GB2312"/>
          <w:color w:val="000000" w:themeColor="text1"/>
          <w:spacing w:val="-27"/>
          <w:lang w:eastAsia="zh-CN"/>
        </w:rPr>
        <w:t>炭步镇大涡太平庄第一经济合作社</w:t>
      </w:r>
      <w:r>
        <w:rPr>
          <w:rFonts w:hint="eastAsia" w:ascii="仿宋_GB2312" w:hAnsi="仿宋_GB2312" w:eastAsia="仿宋_GB2312" w:cs="仿宋_GB2312"/>
          <w:color w:val="000000" w:themeColor="text1"/>
          <w:spacing w:val="6"/>
          <w:lang w:eastAsia="zh-CN"/>
        </w:rPr>
        <w:t>属</w:t>
      </w:r>
      <w:r>
        <w:rPr>
          <w:rFonts w:hint="eastAsia" w:ascii="仿宋_GB2312" w:hAnsi="仿宋_GB2312" w:eastAsia="仿宋_GB2312" w:cs="仿宋_GB2312"/>
          <w:color w:val="000000" w:themeColor="text1"/>
          <w:lang w:eastAsia="zh-CN"/>
        </w:rPr>
        <w:t>下的集体土地</w:t>
      </w:r>
      <w:r>
        <w:rPr>
          <w:rFonts w:hint="eastAsia" w:ascii="Times New Roman" w:hAnsi="Times New Roman" w:eastAsia="仿宋_GB2312" w:cs="Times New Roman"/>
          <w:color w:val="000000" w:themeColor="text1"/>
          <w:lang w:eastAsia="zh-CN"/>
        </w:rPr>
        <w:t>0.0625</w:t>
      </w:r>
      <w:r>
        <w:rPr>
          <w:rFonts w:ascii="Times New Roman" w:hAnsi="Times New Roman" w:eastAsia="仿宋_GB2312" w:cs="Times New Roman"/>
          <w:color w:val="000000" w:themeColor="text1"/>
          <w:lang w:eastAsia="zh-CN"/>
        </w:rPr>
        <w:t>公顷</w:t>
      </w:r>
      <w:r>
        <w:rPr>
          <w:rFonts w:hint="eastAsia" w:ascii="Times New Roman" w:hAnsi="Times New Roman" w:eastAsia="仿宋_GB2312" w:cs="Times New Roman"/>
          <w:color w:val="000000" w:themeColor="text1"/>
          <w:lang w:eastAsia="zh-CN"/>
        </w:rPr>
        <w:t>，面积合计0.0625公顷。</w:t>
      </w:r>
      <w:r>
        <w:rPr>
          <w:rFonts w:hint="eastAsia" w:ascii="仿宋_GB2312" w:hAnsi="仿宋_GB2312" w:eastAsia="仿宋_GB2312" w:cs="仿宋_GB2312"/>
          <w:color w:val="000000" w:themeColor="text1"/>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color w:val="000000" w:themeColor="text1"/>
          <w:spacing w:val="6"/>
          <w:lang w:eastAsia="zh-CN"/>
        </w:rPr>
        <w:t>土地管理条例》第三十条等规定，结合花都</w:t>
      </w:r>
      <w:r>
        <w:rPr>
          <w:rFonts w:hint="eastAsia" w:ascii="仿宋_GB2312" w:hAnsi="仿宋_GB2312" w:eastAsia="仿宋_GB2312" w:cs="仿宋_GB2312"/>
          <w:color w:val="000000" w:themeColor="text1"/>
          <w:spacing w:val="5"/>
          <w:lang w:eastAsia="zh-CN"/>
        </w:rPr>
        <w:t>区的征收农用地</w:t>
      </w:r>
      <w:r>
        <w:rPr>
          <w:rFonts w:hint="eastAsia" w:ascii="仿宋_GB2312" w:hAnsi="仿宋_GB2312" w:eastAsia="仿宋_GB2312" w:cs="仿宋_GB2312"/>
          <w:color w:val="000000" w:themeColor="text1"/>
          <w:lang w:eastAsia="zh-CN"/>
        </w:rPr>
        <w:t>区片综合地价和实际情况，拟定了征地补偿安置方案，具体如下：</w:t>
      </w:r>
    </w:p>
    <w:p>
      <w:pPr>
        <w:pStyle w:val="4"/>
        <w:spacing w:before="0" w:line="560" w:lineRule="exact"/>
        <w:ind w:left="0" w:firstLine="640" w:firstLineChars="200"/>
        <w:jc w:val="both"/>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一、征收范围</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拟征收土地位于</w:t>
      </w:r>
      <w:bookmarkStart w:id="0" w:name="_Hlk162276123"/>
      <w:r>
        <w:rPr>
          <w:rFonts w:ascii="Times New Roman" w:hAnsi="Times New Roman" w:eastAsia="仿宋_GB2312" w:cs="Times New Roman"/>
          <w:color w:val="000000" w:themeColor="text1"/>
          <w:sz w:val="32"/>
          <w:szCs w:val="32"/>
          <w:lang w:eastAsia="zh-CN"/>
        </w:rPr>
        <w:t>广州市花都区</w:t>
      </w:r>
      <w:r>
        <w:rPr>
          <w:rFonts w:hint="eastAsia" w:ascii="Times New Roman" w:hAnsi="Times New Roman" w:eastAsia="仿宋_GB2312" w:cs="Times New Roman"/>
          <w:color w:val="000000" w:themeColor="text1"/>
          <w:sz w:val="32"/>
          <w:szCs w:val="32"/>
          <w:lang w:eastAsia="zh-CN"/>
        </w:rPr>
        <w:t>炭步镇大涡太平庄第一经济合作社</w:t>
      </w:r>
      <w:bookmarkEnd w:id="0"/>
      <w:r>
        <w:rPr>
          <w:rFonts w:ascii="Times New Roman" w:hAnsi="Times New Roman" w:eastAsia="仿宋_GB2312" w:cs="Times New Roman"/>
          <w:color w:val="000000" w:themeColor="text1"/>
          <w:sz w:val="32"/>
          <w:szCs w:val="32"/>
          <w:lang w:eastAsia="zh-CN"/>
        </w:rPr>
        <w:t>范围内，具体位置详见附图。</w:t>
      </w:r>
    </w:p>
    <w:p>
      <w:pPr>
        <w:pStyle w:val="4"/>
        <w:spacing w:before="0" w:line="560" w:lineRule="exact"/>
        <w:ind w:left="0" w:firstLine="640" w:firstLineChars="200"/>
        <w:jc w:val="both"/>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实际征收土地范围以最终批准文件为准。</w:t>
      </w:r>
    </w:p>
    <w:p>
      <w:pPr>
        <w:pStyle w:val="4"/>
        <w:spacing w:before="0" w:line="560" w:lineRule="exact"/>
        <w:ind w:left="0" w:firstLine="640" w:firstLineChars="200"/>
        <w:jc w:val="both"/>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二、征收目的</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根据《中华人民共和国土地管理法》第四十五条的规定，本次征收土地目的为了公共利益的需要，由政府组织实施的能源、交通、水利、通信、邮政等基础设施建设需要用地，拟征收土地规划用途为</w:t>
      </w:r>
      <w:r>
        <w:rPr>
          <w:rFonts w:hint="eastAsia" w:ascii="Times New Roman" w:hAnsi="Times New Roman" w:eastAsia="仿宋_GB2312" w:cs="Times New Roman"/>
          <w:color w:val="000000" w:themeColor="text1"/>
          <w:sz w:val="32"/>
          <w:szCs w:val="32"/>
          <w:lang w:eastAsia="zh-CN"/>
        </w:rPr>
        <w:t>交通运输</w:t>
      </w:r>
      <w:r>
        <w:rPr>
          <w:rFonts w:ascii="Times New Roman" w:hAnsi="Times New Roman" w:eastAsia="仿宋_GB2312" w:cs="Times New Roman"/>
          <w:color w:val="000000" w:themeColor="text1"/>
          <w:sz w:val="32"/>
          <w:szCs w:val="32"/>
          <w:lang w:eastAsia="zh-CN"/>
        </w:rPr>
        <w:t>用地，用地报批组卷</w:t>
      </w:r>
      <w:r>
        <w:rPr>
          <w:rFonts w:hint="eastAsia" w:ascii="Times New Roman" w:hAnsi="Times New Roman" w:eastAsia="仿宋_GB2312" w:cs="Times New Roman"/>
          <w:color w:val="000000" w:themeColor="text1"/>
          <w:sz w:val="32"/>
          <w:szCs w:val="32"/>
          <w:lang w:eastAsia="zh-CN"/>
        </w:rPr>
        <w:t>名称为</w:t>
      </w:r>
      <w:bookmarkStart w:id="1" w:name="_Hlk162276111"/>
      <w:r>
        <w:rPr>
          <w:rFonts w:hint="eastAsia" w:ascii="Times New Roman" w:hAnsi="Times New Roman" w:eastAsia="仿宋_GB2312" w:cs="Times New Roman"/>
          <w:color w:val="000000" w:themeColor="text1"/>
          <w:sz w:val="32"/>
          <w:szCs w:val="32"/>
          <w:lang w:eastAsia="zh-CN"/>
        </w:rPr>
        <w:t>惠州至肇庆高速公路白云至三水段（三水区段）</w:t>
      </w:r>
      <w:bookmarkEnd w:id="1"/>
      <w:r>
        <w:rPr>
          <w:rFonts w:ascii="Times New Roman" w:hAnsi="Times New Roman" w:eastAsia="仿宋_GB2312" w:cs="Times New Roman"/>
          <w:color w:val="000000" w:themeColor="text1"/>
          <w:sz w:val="32"/>
          <w:szCs w:val="32"/>
          <w:lang w:eastAsia="zh-CN"/>
        </w:rPr>
        <w:t>。</w:t>
      </w:r>
    </w:p>
    <w:p>
      <w:pPr>
        <w:pStyle w:val="4"/>
        <w:spacing w:before="0" w:line="560" w:lineRule="exact"/>
        <w:ind w:left="0" w:firstLine="640" w:firstLineChars="200"/>
        <w:jc w:val="both"/>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三、土地现状</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bookmarkStart w:id="2" w:name="_Hlk162276168"/>
      <w:r>
        <w:rPr>
          <w:rFonts w:ascii="Times New Roman" w:hAnsi="Times New Roman" w:eastAsia="仿宋_GB2312" w:cs="Times New Roman"/>
          <w:color w:val="000000" w:themeColor="text1"/>
          <w:sz w:val="32"/>
          <w:szCs w:val="32"/>
          <w:lang w:eastAsia="zh-CN"/>
        </w:rPr>
        <w:t>拟征收广州市花都区</w:t>
      </w:r>
      <w:r>
        <w:rPr>
          <w:rFonts w:hint="eastAsia" w:ascii="Times New Roman" w:hAnsi="Times New Roman" w:eastAsia="仿宋_GB2312" w:cs="Times New Roman"/>
          <w:color w:val="000000" w:themeColor="text1"/>
          <w:sz w:val="32"/>
          <w:szCs w:val="32"/>
          <w:lang w:eastAsia="zh-CN"/>
        </w:rPr>
        <w:t>炭步镇大涡太平庄第一经济合作社</w:t>
      </w:r>
      <w:r>
        <w:rPr>
          <w:rFonts w:ascii="Times New Roman" w:hAnsi="Times New Roman" w:eastAsia="仿宋_GB2312" w:cs="Times New Roman"/>
          <w:color w:val="000000" w:themeColor="text1"/>
          <w:sz w:val="32"/>
          <w:szCs w:val="32"/>
          <w:lang w:eastAsia="zh-CN"/>
        </w:rPr>
        <w:t>属下的集体所有土地</w:t>
      </w:r>
      <w:r>
        <w:rPr>
          <w:rFonts w:hint="eastAsia" w:ascii="Times New Roman" w:hAnsi="Times New Roman" w:eastAsia="仿宋_GB2312" w:cs="Times New Roman"/>
          <w:color w:val="000000" w:themeColor="text1"/>
          <w:sz w:val="32"/>
          <w:szCs w:val="32"/>
          <w:lang w:eastAsia="zh-CN"/>
        </w:rPr>
        <w:t>0.0625</w:t>
      </w:r>
      <w:r>
        <w:rPr>
          <w:rFonts w:ascii="Times New Roman" w:hAnsi="Times New Roman" w:eastAsia="仿宋_GB2312" w:cs="Times New Roman"/>
          <w:color w:val="000000" w:themeColor="text1"/>
          <w:sz w:val="32"/>
          <w:szCs w:val="32"/>
          <w:lang w:eastAsia="zh-CN"/>
        </w:rPr>
        <w:t>公顷（0.9375亩）。其中农用地</w:t>
      </w:r>
      <w:r>
        <w:rPr>
          <w:rFonts w:hint="eastAsia" w:ascii="Times New Roman" w:hAnsi="Times New Roman" w:eastAsia="仿宋_GB2312" w:cs="Times New Roman"/>
          <w:color w:val="000000" w:themeColor="text1"/>
          <w:sz w:val="32"/>
          <w:szCs w:val="32"/>
          <w:lang w:eastAsia="zh-CN"/>
        </w:rPr>
        <w:t>0.0625</w:t>
      </w:r>
      <w:r>
        <w:rPr>
          <w:rFonts w:ascii="Times New Roman" w:hAnsi="Times New Roman" w:eastAsia="仿宋_GB2312" w:cs="Times New Roman"/>
          <w:color w:val="000000" w:themeColor="text1"/>
          <w:sz w:val="32"/>
          <w:szCs w:val="32"/>
          <w:lang w:eastAsia="zh-CN"/>
        </w:rPr>
        <w:t>公顷（0.9375亩），</w:t>
      </w:r>
      <w:r>
        <w:rPr>
          <w:rFonts w:hint="eastAsia" w:ascii="Times New Roman" w:hAnsi="Times New Roman" w:eastAsia="仿宋_GB2312" w:cs="Times New Roman"/>
          <w:color w:val="000000" w:themeColor="text1"/>
          <w:sz w:val="32"/>
          <w:szCs w:val="32"/>
          <w:lang w:eastAsia="zh-CN"/>
        </w:rPr>
        <w:t>不含耕地。</w:t>
      </w:r>
    </w:p>
    <w:bookmarkEnd w:id="2"/>
    <w:p>
      <w:pPr>
        <w:pStyle w:val="4"/>
        <w:spacing w:before="0" w:line="560" w:lineRule="exact"/>
        <w:ind w:left="0" w:firstLine="640" w:firstLineChars="200"/>
        <w:jc w:val="both"/>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四、补偿方式和标准</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根据</w:t>
      </w:r>
      <w:r>
        <w:rPr>
          <w:rFonts w:hint="eastAsia" w:ascii="Times New Roman" w:hAnsi="Times New Roman" w:eastAsia="仿宋_GB2312" w:cs="Times New Roman"/>
          <w:color w:val="000000" w:themeColor="text1"/>
          <w:sz w:val="32"/>
          <w:szCs w:val="32"/>
          <w:lang w:eastAsia="zh-CN"/>
        </w:rPr>
        <w:t>《广东省自然资源厅关于广州市征收农用地区片综合地价成果的批复》（粤自然资函〔</w:t>
      </w:r>
      <w:r>
        <w:rPr>
          <w:rFonts w:ascii="Times New Roman" w:hAnsi="Times New Roman" w:eastAsia="仿宋_GB2312" w:cs="Times New Roman"/>
          <w:color w:val="000000" w:themeColor="text1"/>
          <w:sz w:val="32"/>
          <w:szCs w:val="32"/>
          <w:lang w:eastAsia="zh-CN"/>
        </w:rPr>
        <w:t>2024</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lang w:eastAsia="zh-CN"/>
        </w:rPr>
        <w:t>103</w:t>
      </w:r>
      <w:r>
        <w:rPr>
          <w:rFonts w:hint="eastAsia" w:ascii="Times New Roman" w:hAnsi="Times New Roman" w:eastAsia="仿宋_GB2312" w:cs="Times New Roman"/>
          <w:color w:val="000000" w:themeColor="text1"/>
          <w:sz w:val="32"/>
          <w:szCs w:val="32"/>
          <w:lang w:eastAsia="zh-CN"/>
        </w:rPr>
        <w:t>号）</w:t>
      </w:r>
      <w:r>
        <w:rPr>
          <w:rFonts w:ascii="Times New Roman" w:hAnsi="Times New Roman" w:eastAsia="仿宋_GB2312" w:cs="Times New Roman"/>
          <w:color w:val="000000" w:themeColor="text1"/>
          <w:sz w:val="32"/>
          <w:szCs w:val="32"/>
          <w:lang w:eastAsia="zh-CN"/>
        </w:rPr>
        <w:t>的规定，征收集体农用地按165万元/公顷补偿（其中，土地补偿费82.5万元/公顷、安置补助费82.5万元/公顷）的标准补偿。</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（二）农村村民住宅</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bookmarkStart w:id="3" w:name="_Hlk162276230"/>
      <w:r>
        <w:rPr>
          <w:rFonts w:hint="eastAsia" w:ascii="Times New Roman" w:hAnsi="Times New Roman" w:eastAsia="仿宋_GB2312" w:cs="Times New Roman"/>
          <w:bCs/>
          <w:color w:val="000000" w:themeColor="text1"/>
          <w:kern w:val="2"/>
          <w:sz w:val="32"/>
          <w:szCs w:val="32"/>
          <w:lang w:eastAsia="zh-CN"/>
        </w:rPr>
        <w:t>本次征地不涉及</w:t>
      </w:r>
      <w:r>
        <w:rPr>
          <w:rFonts w:ascii="Times New Roman" w:hAnsi="Times New Roman" w:eastAsia="仿宋_GB2312" w:cs="Times New Roman"/>
          <w:color w:val="000000" w:themeColor="text1"/>
          <w:sz w:val="32"/>
          <w:szCs w:val="32"/>
          <w:lang w:eastAsia="zh-CN"/>
        </w:rPr>
        <w:t>农村村民住宅</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lang w:eastAsia="zh-CN"/>
        </w:rPr>
        <w:t>青苗及其他地上附着物</w:t>
      </w:r>
      <w:r>
        <w:rPr>
          <w:rFonts w:hint="eastAsia" w:ascii="Times New Roman" w:hAnsi="Times New Roman" w:eastAsia="仿宋_GB2312" w:cs="Times New Roman"/>
          <w:bCs/>
          <w:color w:val="000000" w:themeColor="text1"/>
          <w:kern w:val="2"/>
          <w:sz w:val="32"/>
          <w:szCs w:val="32"/>
          <w:lang w:eastAsia="zh-CN"/>
        </w:rPr>
        <w:t>补偿。</w:t>
      </w:r>
    </w:p>
    <w:bookmarkEnd w:id="3"/>
    <w:p>
      <w:pPr>
        <w:pStyle w:val="4"/>
        <w:spacing w:before="0" w:line="560" w:lineRule="exact"/>
        <w:ind w:left="0" w:firstLine="640" w:firstLineChars="200"/>
        <w:jc w:val="both"/>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五、安置对象</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color w:val="000000" w:themeColor="text1"/>
          <w:sz w:val="32"/>
          <w:szCs w:val="32"/>
          <w:lang w:eastAsia="zh-CN"/>
        </w:rPr>
        <w:t>保</w:t>
      </w:r>
      <w:r>
        <w:rPr>
          <w:rFonts w:ascii="Times New Roman" w:hAnsi="Times New Roman" w:eastAsia="仿宋_GB2312" w:cs="Times New Roman"/>
          <w:color w:val="000000" w:themeColor="text1"/>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六、安置方式和社会保障</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（二）留用地安置。</w:t>
      </w:r>
      <w:bookmarkStart w:id="4" w:name="_Hlk162276270"/>
      <w:r>
        <w:rPr>
          <w:rFonts w:ascii="Times New Roman" w:hAnsi="Times New Roman" w:eastAsia="仿宋_GB2312" w:cs="Times New Roman"/>
          <w:color w:val="000000" w:themeColor="text1"/>
          <w:sz w:val="32"/>
          <w:szCs w:val="32"/>
          <w:lang w:eastAsia="zh-CN"/>
        </w:rPr>
        <w:t>根据《广东省人民政府办公厅关于加强征收农村集体土地留用地安置管理工作的意见》（粤府办〔2016〕30号）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《广州市人民政府办公厅关于进一步加强征收农村集体土地留用地管理的意见》（穗府办规〔2018〕17号）相关规定，</w:t>
      </w:r>
      <w:r>
        <w:rPr>
          <w:rFonts w:ascii="Times New Roman" w:hAnsi="Times New Roman" w:eastAsia="仿宋_GB2312" w:cs="Times New Roman"/>
          <w:color w:val="000000" w:themeColor="text1"/>
          <w:sz w:val="32"/>
          <w:szCs w:val="32"/>
          <w:lang w:eastAsia="zh-CN"/>
        </w:rPr>
        <w:t>按实际征收土地面积的10%安排留用地，</w:t>
      </w:r>
      <w:r>
        <w:rPr>
          <w:rFonts w:hint="eastAsia" w:ascii="Times New Roman" w:hAnsi="Times New Roman" w:eastAsia="仿宋_GB2312" w:cs="Times New Roman"/>
          <w:color w:val="000000" w:themeColor="text1"/>
          <w:sz w:val="32"/>
          <w:szCs w:val="32"/>
          <w:lang w:eastAsia="zh-CN"/>
        </w:rPr>
        <w:t>留用地兑现方式为实物留地，拟在批准用地后六个月内依法办理留用地的用地报批手续。</w:t>
      </w:r>
      <w:bookmarkEnd w:id="4"/>
    </w:p>
    <w:p>
      <w:pPr>
        <w:spacing w:line="560" w:lineRule="exact"/>
        <w:ind w:firstLine="640" w:firstLineChars="200"/>
        <w:jc w:val="both"/>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color w:val="000000" w:themeColor="text1"/>
          <w:sz w:val="32"/>
          <w:szCs w:val="32"/>
          <w:lang w:eastAsia="zh-CN"/>
        </w:rPr>
        <w:t>核定该项目按2.14万元/亩的标准计提</w:t>
      </w:r>
      <w:r>
        <w:rPr>
          <w:rFonts w:ascii="Times New Roman" w:hAnsi="Times New Roman" w:eastAsia="仿宋_GB2312" w:cs="Times New Roman"/>
          <w:color w:val="000000" w:themeColor="text1"/>
          <w:sz w:val="32"/>
          <w:szCs w:val="32"/>
          <w:lang w:eastAsia="zh-CN"/>
        </w:rPr>
        <w:t>一次性</w:t>
      </w:r>
      <w:r>
        <w:rPr>
          <w:rFonts w:hint="eastAsia" w:ascii="Times New Roman" w:hAnsi="Times New Roman" w:eastAsia="仿宋_GB2312" w:cs="Times New Roman"/>
          <w:color w:val="000000" w:themeColor="text1"/>
          <w:sz w:val="32"/>
          <w:szCs w:val="32"/>
          <w:lang w:eastAsia="zh-CN"/>
        </w:rPr>
        <w:t>将</w:t>
      </w:r>
      <w:r>
        <w:rPr>
          <w:rFonts w:ascii="Times New Roman" w:hAnsi="Times New Roman" w:eastAsia="仿宋_GB2312" w:cs="Times New Roman"/>
          <w:color w:val="000000" w:themeColor="text1"/>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color w:val="000000" w:themeColor="text1"/>
          <w:sz w:val="32"/>
          <w:szCs w:val="32"/>
          <w:lang w:eastAsia="zh-CN"/>
        </w:rPr>
        <w:t>2.01</w:t>
      </w:r>
      <w:r>
        <w:rPr>
          <w:rFonts w:ascii="Times New Roman" w:hAnsi="Times New Roman" w:eastAsia="仿宋_GB2312" w:cs="Times New Roman"/>
          <w:color w:val="000000" w:themeColor="text1"/>
          <w:sz w:val="32"/>
          <w:szCs w:val="32"/>
          <w:lang w:eastAsia="zh-CN"/>
        </w:rPr>
        <w:t>万元，专款用于被征地农民缴纳养老保险费用。征地批准文件批复的实际范围有变化的，费用将做相应调整。</w:t>
      </w:r>
    </w:p>
    <w:p>
      <w:pPr>
        <w:pStyle w:val="4"/>
        <w:spacing w:before="10" w:line="256" w:lineRule="auto"/>
        <w:ind w:left="0" w:right="111"/>
        <w:jc w:val="both"/>
        <w:rPr>
          <w:rFonts w:ascii="仿宋_GB2312" w:hAnsi="仿宋_GB2312" w:eastAsia="仿宋_GB2312" w:cs="仿宋_GB2312"/>
          <w:color w:val="000000" w:themeColor="text1"/>
          <w:lang w:eastAsia="zh-CN"/>
        </w:rPr>
      </w:pPr>
    </w:p>
    <w:p>
      <w:pPr>
        <w:pStyle w:val="4"/>
        <w:spacing w:before="0" w:line="437" w:lineRule="exact"/>
        <w:ind w:left="0" w:right="260"/>
        <w:jc w:val="right"/>
        <w:rPr>
          <w:rFonts w:ascii="仿宋_GB2312" w:hAnsi="仿宋_GB2312" w:eastAsia="仿宋_GB2312" w:cs="仿宋_GB2312"/>
          <w:color w:val="000000" w:themeColor="text1"/>
          <w:lang w:eastAsia="zh-CN"/>
        </w:rPr>
      </w:pPr>
    </w:p>
    <w:p>
      <w:pPr>
        <w:pStyle w:val="4"/>
        <w:spacing w:before="0" w:line="437" w:lineRule="exact"/>
        <w:ind w:left="0" w:right="260"/>
        <w:jc w:val="right"/>
        <w:rPr>
          <w:rFonts w:ascii="仿宋_GB2312" w:hAnsi="仿宋_GB2312" w:eastAsia="仿宋_GB2312" w:cs="仿宋_GB2312"/>
          <w:color w:val="000000" w:themeColor="text1"/>
          <w:lang w:eastAsia="zh-CN"/>
        </w:rPr>
      </w:pPr>
    </w:p>
    <w:p>
      <w:pPr>
        <w:pStyle w:val="4"/>
        <w:spacing w:before="0" w:line="437" w:lineRule="exact"/>
        <w:ind w:left="0" w:right="260"/>
        <w:jc w:val="right"/>
        <w:rPr>
          <w:rFonts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广州市规划和自然资源局花都区分局</w:t>
      </w:r>
    </w:p>
    <w:p>
      <w:pPr>
        <w:pStyle w:val="4"/>
        <w:ind w:left="0" w:right="260"/>
        <w:jc w:val="center"/>
        <w:rPr>
          <w:rFonts w:hint="eastAsia" w:ascii="Times New Roman" w:hAnsi="Times New Roman" w:eastAsia="仿宋_GB2312" w:cs="Times New Roman"/>
          <w:color w:val="000000" w:themeColor="text1"/>
          <w:lang w:eastAsia="zh-CN"/>
        </w:rPr>
      </w:pPr>
      <w:r>
        <w:rPr>
          <w:rFonts w:hint="eastAsia" w:ascii="Times New Roman" w:hAnsi="Times New Roman" w:eastAsia="仿宋_GB2312" w:cs="Times New Roman"/>
          <w:color w:val="000000" w:themeColor="text1"/>
          <w:lang w:eastAsia="zh-CN"/>
        </w:rPr>
        <w:t xml:space="preserve">                                          </w:t>
      </w:r>
      <w:r>
        <w:rPr>
          <w:rFonts w:hint="eastAsia" w:ascii="Times New Roman" w:hAnsi="Times New Roman" w:eastAsia="仿宋_GB2312" w:cs="Times New Roman"/>
          <w:color w:val="000000" w:themeColor="text1"/>
          <w:lang w:eastAsia="zh-CN"/>
        </w:rPr>
        <w:t xml:space="preserve">    </w:t>
      </w:r>
      <w:bookmarkStart w:id="5" w:name="_GoBack"/>
      <w:bookmarkEnd w:id="5"/>
      <w:r>
        <w:rPr>
          <w:rFonts w:hint="eastAsia" w:ascii="Times New Roman" w:hAnsi="Times New Roman" w:eastAsia="仿宋_GB2312" w:cs="Times New Roman"/>
          <w:color w:val="000000" w:themeColor="text1"/>
          <w:lang w:eastAsia="zh-CN"/>
        </w:rPr>
        <w:t>2024年4月3日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991EE2"/>
    <w:rsid w:val="00236C02"/>
    <w:rsid w:val="00354AC0"/>
    <w:rsid w:val="003C13B4"/>
    <w:rsid w:val="005C1FCA"/>
    <w:rsid w:val="00706A99"/>
    <w:rsid w:val="008F23BC"/>
    <w:rsid w:val="00991EE2"/>
    <w:rsid w:val="00AF6092"/>
    <w:rsid w:val="00D567A8"/>
    <w:rsid w:val="022A33E1"/>
    <w:rsid w:val="04654DC4"/>
    <w:rsid w:val="0822151D"/>
    <w:rsid w:val="08682950"/>
    <w:rsid w:val="086B6521"/>
    <w:rsid w:val="08D87341"/>
    <w:rsid w:val="0BC12118"/>
    <w:rsid w:val="0C890300"/>
    <w:rsid w:val="161B7A15"/>
    <w:rsid w:val="162B00EE"/>
    <w:rsid w:val="16E50DE0"/>
    <w:rsid w:val="19977D8A"/>
    <w:rsid w:val="219E39B8"/>
    <w:rsid w:val="25477C36"/>
    <w:rsid w:val="29C73F17"/>
    <w:rsid w:val="2BE439BC"/>
    <w:rsid w:val="2EBE20A5"/>
    <w:rsid w:val="2F2F33BB"/>
    <w:rsid w:val="33085EB0"/>
    <w:rsid w:val="34394804"/>
    <w:rsid w:val="34CC172C"/>
    <w:rsid w:val="39A42B0C"/>
    <w:rsid w:val="3B8E0546"/>
    <w:rsid w:val="3D4536F5"/>
    <w:rsid w:val="46753A21"/>
    <w:rsid w:val="47EA5951"/>
    <w:rsid w:val="4FDC68BF"/>
    <w:rsid w:val="505F6CEB"/>
    <w:rsid w:val="54382FF3"/>
    <w:rsid w:val="54E02594"/>
    <w:rsid w:val="5EF369C2"/>
    <w:rsid w:val="5F7D66C9"/>
    <w:rsid w:val="63714235"/>
    <w:rsid w:val="6488303F"/>
    <w:rsid w:val="64ED2421"/>
    <w:rsid w:val="671A7149"/>
    <w:rsid w:val="6DB30687"/>
    <w:rsid w:val="6F8C3791"/>
    <w:rsid w:val="708E5910"/>
    <w:rsid w:val="747B57C1"/>
    <w:rsid w:val="76910A96"/>
    <w:rsid w:val="78EA6370"/>
    <w:rsid w:val="7D5135A2"/>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脚 字符"/>
    <w:basedOn w:val="8"/>
    <w:link w:val="5"/>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212</Words>
  <Characters>1212</Characters>
  <Lines>10</Lines>
  <Paragraphs>2</Paragraphs>
  <TotalTime>21</TotalTime>
  <ScaleCrop>false</ScaleCrop>
  <LinksUpToDate>false</LinksUpToDate>
  <CharactersWithSpaces>1422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2024-04-09T02:35:25Z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