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bCs/>
          <w:color w:val="000000"/>
          <w:sz w:val="44"/>
          <w:szCs w:val="44"/>
          <w:highlight w:val="none"/>
        </w:rPr>
      </w:pPr>
      <w:bookmarkStart w:id="0" w:name="_GoBack"/>
      <w:bookmarkEnd w:id="0"/>
      <w:r>
        <w:rPr>
          <w:rFonts w:hint="eastAsia" w:ascii="Times New Roman" w:hAnsi="Times New Roman" w:eastAsia="方正小标宋_GBK"/>
          <w:bCs/>
          <w:color w:val="000000"/>
          <w:sz w:val="44"/>
          <w:szCs w:val="44"/>
          <w:highlight w:val="none"/>
          <w:lang w:eastAsia="zh-CN"/>
        </w:rPr>
        <w:t>关于</w:t>
      </w:r>
      <w:r>
        <w:rPr>
          <w:rFonts w:hint="eastAsia" w:ascii="Times New Roman" w:hAnsi="Times New Roman" w:eastAsia="方正小标宋_GBK"/>
          <w:bCs/>
          <w:color w:val="000000"/>
          <w:sz w:val="44"/>
          <w:szCs w:val="44"/>
          <w:highlight w:val="none"/>
        </w:rPr>
        <w:t>广州市天河区</w:t>
      </w:r>
      <w:r>
        <w:rPr>
          <w:rFonts w:hint="eastAsia" w:ascii="Times New Roman" w:hAnsi="Times New Roman" w:eastAsia="方正小标宋_GBK"/>
          <w:b/>
          <w:bCs w:val="0"/>
          <w:color w:val="000000"/>
          <w:sz w:val="44"/>
          <w:szCs w:val="44"/>
          <w:highlight w:val="none"/>
        </w:rPr>
        <w:t>2022</w:t>
      </w:r>
      <w:r>
        <w:rPr>
          <w:rFonts w:hint="eastAsia" w:ascii="Times New Roman" w:hAnsi="Times New Roman" w:eastAsia="方正小标宋_GBK"/>
          <w:bCs/>
          <w:color w:val="000000"/>
          <w:sz w:val="44"/>
          <w:szCs w:val="44"/>
          <w:highlight w:val="none"/>
        </w:rPr>
        <w:t>年度二批次</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bCs/>
          <w:color w:val="000000"/>
          <w:sz w:val="44"/>
          <w:szCs w:val="44"/>
          <w:highlight w:val="none"/>
        </w:rPr>
      </w:pPr>
      <w:r>
        <w:rPr>
          <w:rFonts w:hint="eastAsia" w:ascii="Times New Roman" w:hAnsi="Times New Roman" w:eastAsia="方正小标宋_GBK"/>
          <w:bCs/>
          <w:color w:val="000000"/>
          <w:sz w:val="44"/>
          <w:szCs w:val="44"/>
          <w:highlight w:val="none"/>
        </w:rPr>
        <w:t>城市建设用地征地补偿安置方案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为实施广州市天河区龙洞街和凤凰街建设规划，完善城市功能，改善城市环境，促进经济、文化发展，广州市天河区人民政府拟征收该区龙洞街龙洞股份合作经济联社、凤凰街渔沙坦股份合作经济联社属下的集体土地17.9972公顷。根据《中华人民共和国土地管理法》第二条、第四十五条、第四十七条，《中华人民共和国土地管理法实施条例》第二十七条、第二十八条，以及《广东省土地管理条例》第三十条等规定，结合天河区的征收农用地区片综合地价和实际情况，拟定了征地补偿安置方案，具体如下</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一、征收范围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拟征收土地位于广州市天河区龙洞街龙洞股份合作经济联社、凤凰街渔沙坦股份合作经济联社范围内，具体位置详见附图。实际征收土地范围以最终批准文件为准</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中华人民共和国土地管理法》第四十五条的规定，本次征收土地目的为政府组织实施的教育类公共事业需要用地，规划用途为公共管理与公共服务用地，用地报批组卷批次号为广州市天河区2022年度第二批次城市建设用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三、土地现状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根据拟征收土地现状调查结果，拟征收土地现状为</w:t>
      </w:r>
      <w:r>
        <w:rPr>
          <w:rFonts w:hint="eastAsia"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（一）拟征收广州市天河区龙洞街龙洞股份合作经济联社集体所有土地11.9747公顷（179.6205亩）。其中农用地</w:t>
      </w:r>
      <w:r>
        <w:rPr>
          <w:rFonts w:ascii="Times New Roman" w:hAnsi="Times New Roman" w:eastAsia="仿宋_GB2312"/>
          <w:sz w:val="32"/>
          <w:szCs w:val="32"/>
          <w:highlight w:val="none"/>
        </w:rPr>
        <w:t>10.2448</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153.6720</w:t>
      </w:r>
      <w:r>
        <w:rPr>
          <w:rFonts w:hint="eastAsia" w:ascii="Times New Roman" w:hAnsi="Times New Roman" w:eastAsia="仿宋_GB2312"/>
          <w:sz w:val="32"/>
          <w:szCs w:val="32"/>
          <w:highlight w:val="none"/>
        </w:rPr>
        <w:t>亩），建设用地</w:t>
      </w:r>
      <w:r>
        <w:rPr>
          <w:rFonts w:ascii="Times New Roman" w:hAnsi="Times New Roman" w:eastAsia="仿宋_GB2312"/>
          <w:sz w:val="32"/>
          <w:szCs w:val="32"/>
          <w:highlight w:val="none"/>
        </w:rPr>
        <w:t>1.7299</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25.9485</w:t>
      </w:r>
      <w:r>
        <w:rPr>
          <w:rFonts w:hint="eastAsia" w:ascii="Times New Roman" w:hAnsi="Times New Roman" w:eastAsia="仿宋_GB2312"/>
          <w:sz w:val="32"/>
          <w:szCs w:val="32"/>
          <w:highlight w:val="none"/>
        </w:rPr>
        <w:t>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（二）拟征收广州市天河区凤凰街渔沙坦股份合作经济联社集体所有土地6.0225公顷（90.3375亩）。其中农用地</w:t>
      </w:r>
      <w:r>
        <w:rPr>
          <w:rFonts w:ascii="Times New Roman" w:hAnsi="Times New Roman" w:eastAsia="仿宋_GB2312"/>
          <w:sz w:val="32"/>
          <w:szCs w:val="32"/>
          <w:highlight w:val="none"/>
        </w:rPr>
        <w:t>5.8176</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87.2640</w:t>
      </w:r>
      <w:r>
        <w:rPr>
          <w:rFonts w:hint="eastAsia" w:ascii="Times New Roman" w:hAnsi="Times New Roman" w:eastAsia="仿宋_GB2312"/>
          <w:sz w:val="32"/>
          <w:szCs w:val="32"/>
          <w:highlight w:val="none"/>
        </w:rPr>
        <w:t>亩），建设用地</w:t>
      </w:r>
      <w:r>
        <w:rPr>
          <w:rFonts w:ascii="Times New Roman" w:hAnsi="Times New Roman" w:eastAsia="仿宋_GB2312"/>
          <w:sz w:val="32"/>
          <w:szCs w:val="32"/>
          <w:highlight w:val="none"/>
        </w:rPr>
        <w:t>0.2049</w:t>
      </w:r>
      <w:r>
        <w:rPr>
          <w:rFonts w:hint="eastAsia" w:ascii="Times New Roman" w:hAnsi="Times New Roman" w:eastAsia="仿宋_GB2312"/>
          <w:sz w:val="32"/>
          <w:szCs w:val="32"/>
          <w:highlight w:val="none"/>
        </w:rPr>
        <w:t>公顷（</w:t>
      </w:r>
      <w:r>
        <w:rPr>
          <w:rFonts w:ascii="Times New Roman" w:hAnsi="Times New Roman" w:eastAsia="仿宋_GB2312"/>
          <w:sz w:val="32"/>
          <w:szCs w:val="32"/>
          <w:highlight w:val="none"/>
        </w:rPr>
        <w:t>3.0735</w:t>
      </w:r>
      <w:r>
        <w:rPr>
          <w:rFonts w:hint="eastAsia" w:ascii="Times New Roman" w:hAnsi="Times New Roman" w:eastAsia="仿宋_GB2312"/>
          <w:sz w:val="32"/>
          <w:szCs w:val="32"/>
          <w:highlight w:val="none"/>
        </w:rPr>
        <w:t>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四、补偿方式和标准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 w:hAnsi="楷体" w:eastAsia="楷体" w:cs="楷体"/>
          <w:sz w:val="32"/>
          <w:szCs w:val="32"/>
          <w:highlight w:val="none"/>
        </w:rPr>
      </w:pPr>
      <w:r>
        <w:rPr>
          <w:rFonts w:hint="eastAsia" w:ascii="楷体" w:hAnsi="楷体" w:eastAsia="楷体" w:cs="楷体"/>
          <w:sz w:val="32"/>
          <w:szCs w:val="32"/>
          <w:highlight w:val="none"/>
        </w:rPr>
        <w:t>（一）土地补偿费与安置补助费标准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根据《广州市人民政府关于公布实施征收农用地区片综合地价的公告》的规定，土地补偿标准为382.5万元/公顷，安置补助标准为382.5万元/公顷。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 w:hAnsi="楷体" w:eastAsia="楷体" w:cs="楷体"/>
          <w:sz w:val="32"/>
          <w:szCs w:val="32"/>
          <w:highlight w:val="none"/>
        </w:rPr>
      </w:pPr>
      <w:r>
        <w:rPr>
          <w:rFonts w:hint="eastAsia" w:ascii="楷体" w:hAnsi="楷体" w:eastAsia="楷体" w:cs="楷体"/>
          <w:sz w:val="32"/>
          <w:szCs w:val="32"/>
          <w:highlight w:val="none"/>
        </w:rPr>
        <w:t>（二）农村村民住宅补偿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本次征地不涉及农村村民住宅补偿。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 w:hAnsi="楷体" w:eastAsia="楷体" w:cs="楷体"/>
          <w:sz w:val="32"/>
          <w:szCs w:val="32"/>
          <w:highlight w:val="none"/>
        </w:rPr>
      </w:pPr>
      <w:r>
        <w:rPr>
          <w:rFonts w:hint="eastAsia" w:ascii="楷体" w:hAnsi="楷体" w:eastAsia="楷体" w:cs="楷体"/>
          <w:sz w:val="32"/>
          <w:szCs w:val="32"/>
          <w:highlight w:val="none"/>
        </w:rPr>
        <w:t>（三）青苗及其他地上附着物补偿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征地范围内的青苗补偿费和附着物补偿费按天河区政府有关规定进行补偿。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五、安置对象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sz w:val="32"/>
          <w:szCs w:val="32"/>
          <w:highlight w:val="none"/>
        </w:rPr>
      </w:pPr>
      <w:r>
        <w:rPr>
          <w:rFonts w:hint="eastAsia" w:ascii="黑体" w:hAnsi="黑体" w:eastAsia="黑体" w:cs="黑体"/>
          <w:bCs/>
          <w:sz w:val="32"/>
          <w:szCs w:val="32"/>
          <w:highlight w:val="none"/>
        </w:rPr>
        <w:t>六、安置方式和社会保障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楷体" w:hAnsi="楷体" w:eastAsia="楷体" w:cs="楷体"/>
          <w:sz w:val="32"/>
          <w:szCs w:val="32"/>
          <w:highlight w:val="none"/>
        </w:rPr>
        <w:t>（一）货币安置。</w:t>
      </w:r>
      <w:r>
        <w:rPr>
          <w:rFonts w:ascii="Times New Roman" w:hAnsi="Times New Roman" w:eastAsia="仿宋_GB2312"/>
          <w:sz w:val="32"/>
          <w:szCs w:val="32"/>
          <w:highlight w:val="none"/>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楷体" w:hAnsi="楷体" w:eastAsia="楷体" w:cs="楷体"/>
          <w:sz w:val="32"/>
          <w:szCs w:val="32"/>
          <w:highlight w:val="none"/>
        </w:rPr>
        <w:t>（二）留用地安置。</w:t>
      </w:r>
      <w:r>
        <w:rPr>
          <w:rFonts w:ascii="Times New Roman" w:hAnsi="Times New Roman" w:eastAsia="仿宋_GB2312"/>
          <w:sz w:val="32"/>
          <w:szCs w:val="32"/>
          <w:highlight w:val="none"/>
        </w:rPr>
        <w:t>根据《广东省人民政府办公厅关于加强征收农村集体土地留用地安置管理工作的意见》（粤府办〔2016〕30号）相关规定，按实际征收土地面积的10%安排留用地，留用地兑现方式为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sz w:val="32"/>
          <w:szCs w:val="32"/>
          <w:highlight w:val="none"/>
        </w:rPr>
        <w:t>实物留地</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Times New Roman" w:hAnsi="Times New Roman" w:eastAsia="仿宋_GB2312"/>
          <w:sz w:val="32"/>
          <w:szCs w:val="32"/>
          <w:highlight w:val="none"/>
        </w:rPr>
      </w:pPr>
      <w:r>
        <w:rPr>
          <w:rFonts w:hint="eastAsia" w:ascii="楷体" w:hAnsi="楷体" w:eastAsia="楷体" w:cs="楷体"/>
          <w:sz w:val="32"/>
          <w:szCs w:val="32"/>
          <w:highlight w:val="none"/>
        </w:rPr>
        <w:t>（三）社会保障费用。</w:t>
      </w:r>
      <w:r>
        <w:rPr>
          <w:rFonts w:hint="eastAsia" w:ascii="Times New Roman" w:hAnsi="Times New Roman" w:eastAsia="仿宋_GB2312"/>
          <w:sz w:val="32"/>
          <w:szCs w:val="32"/>
          <w:highlight w:val="none"/>
        </w:rPr>
        <w:t>根据《广东省人民政府办公厅转发省人力资源社会保障厅关于进一步完善我省被征地农民养老保障政策意见的通知》（粤府办〔2021〕22号）和《广州市人民政府办公厅转发我省被征地农民养老保障政策意见的通知》（穗府办规〔2022〕3号）相关规定</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该项目征地社保费应按5.5万元/亩的标准计提（即征地补偿安置方案制定时，我区每亩平均征收农用地综合区片地价51万元/亩乘以对应广州市第五级第十一档计提比例10%，因计算结果5.1万元/亩低于该档最低计提标准5.5万元/亩，按最低计提标准执行），其中0亩属于农村集体经济组织留用地，按规定不计提征地社保费，需计提资金共1484.78万元（其中龙洞股份合作经济联社987.92万元，渔沙坦股份合作经济联社496.86万元）由征地主体（用地单位）一次性预存入我区人力资源社会保障部门开设的“收缴被征地农民养老保障资金过渡户”，计入征地成本纳入工程项目概算。征地批准文件批复的实际范围有变化的，费用将做相应调整</w:t>
      </w:r>
      <w:r>
        <w:rPr>
          <w:rFonts w:ascii="Times New Roman" w:hAnsi="Times New Roman"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right="1760"/>
        <w:textAlignment w:val="auto"/>
        <w:rPr>
          <w:rFonts w:ascii="Times New Roman" w:hAnsi="Times New Roman" w:eastAsia="仿宋_GB2312"/>
          <w:sz w:val="32"/>
          <w:szCs w:val="32"/>
          <w:highlight w:val="none"/>
        </w:rPr>
      </w:pPr>
    </w:p>
    <w:sectPr>
      <w:headerReference r:id="rId3" w:type="default"/>
      <w:headerReference r:id="rId4" w:type="even"/>
      <w:pgSz w:w="11906" w:h="16838"/>
      <w:pgMar w:top="1440" w:right="1616"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YTAyODgyYjM5NzZhNGJmYTQ4YzFlNTFlYTVhZWQifQ=="/>
  </w:docVars>
  <w:rsids>
    <w:rsidRoot w:val="00500810"/>
    <w:rsid w:val="000448C9"/>
    <w:rsid w:val="0006785F"/>
    <w:rsid w:val="000B502E"/>
    <w:rsid w:val="000D5560"/>
    <w:rsid w:val="00153123"/>
    <w:rsid w:val="00172529"/>
    <w:rsid w:val="0018057D"/>
    <w:rsid w:val="001A2F74"/>
    <w:rsid w:val="00200A17"/>
    <w:rsid w:val="0024384D"/>
    <w:rsid w:val="002A7680"/>
    <w:rsid w:val="003542DD"/>
    <w:rsid w:val="0039572F"/>
    <w:rsid w:val="00414185"/>
    <w:rsid w:val="0042482F"/>
    <w:rsid w:val="00477B24"/>
    <w:rsid w:val="00500810"/>
    <w:rsid w:val="005E76D3"/>
    <w:rsid w:val="006428E1"/>
    <w:rsid w:val="006751EB"/>
    <w:rsid w:val="0071484C"/>
    <w:rsid w:val="008227B0"/>
    <w:rsid w:val="008E0604"/>
    <w:rsid w:val="008E12A6"/>
    <w:rsid w:val="00A4134A"/>
    <w:rsid w:val="00A8088C"/>
    <w:rsid w:val="00AF138B"/>
    <w:rsid w:val="00B533BF"/>
    <w:rsid w:val="00B85BAE"/>
    <w:rsid w:val="00BB263C"/>
    <w:rsid w:val="00BF393B"/>
    <w:rsid w:val="00C8515A"/>
    <w:rsid w:val="00DB5B2A"/>
    <w:rsid w:val="00DD4E8F"/>
    <w:rsid w:val="00DD5395"/>
    <w:rsid w:val="00DE723F"/>
    <w:rsid w:val="00E519A0"/>
    <w:rsid w:val="00EF227C"/>
    <w:rsid w:val="00FB123A"/>
    <w:rsid w:val="00FD5F21"/>
    <w:rsid w:val="06306B74"/>
    <w:rsid w:val="08AC45C3"/>
    <w:rsid w:val="09A31262"/>
    <w:rsid w:val="0DCF4DF1"/>
    <w:rsid w:val="17034E7A"/>
    <w:rsid w:val="18776EDB"/>
    <w:rsid w:val="1AF96810"/>
    <w:rsid w:val="1B392BA6"/>
    <w:rsid w:val="1FC10199"/>
    <w:rsid w:val="29502B46"/>
    <w:rsid w:val="2B033EB9"/>
    <w:rsid w:val="31042E33"/>
    <w:rsid w:val="330E017F"/>
    <w:rsid w:val="381B1914"/>
    <w:rsid w:val="3BF1702F"/>
    <w:rsid w:val="3D580C5D"/>
    <w:rsid w:val="472473E6"/>
    <w:rsid w:val="4C5C65EC"/>
    <w:rsid w:val="4D073D2A"/>
    <w:rsid w:val="4E771544"/>
    <w:rsid w:val="50AC0F09"/>
    <w:rsid w:val="52826EE4"/>
    <w:rsid w:val="58764F48"/>
    <w:rsid w:val="5B5A42ED"/>
    <w:rsid w:val="5E836D11"/>
    <w:rsid w:val="70BA766B"/>
    <w:rsid w:val="713018A5"/>
    <w:rsid w:val="786E0936"/>
    <w:rsid w:val="795963C7"/>
    <w:rsid w:val="7BC47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heme="minorHAnsi" w:hAnsiTheme="minorHAnsi"/>
      <w:b/>
      <w:kern w:val="44"/>
      <w:sz w:val="32"/>
      <w:szCs w:val="21"/>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4">
    <w:name w:val="annotation text"/>
    <w:basedOn w:val="1"/>
    <w:link w:val="14"/>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5"/>
    <w:qFormat/>
    <w:uiPriority w:val="0"/>
    <w:rPr>
      <w:b/>
      <w:bCs/>
    </w:rPr>
  </w:style>
  <w:style w:type="character" w:styleId="11">
    <w:name w:val="annotation reference"/>
    <w:basedOn w:val="10"/>
    <w:qFormat/>
    <w:uiPriority w:val="0"/>
    <w:rPr>
      <w:sz w:val="21"/>
      <w:szCs w:val="21"/>
    </w:rPr>
  </w:style>
  <w:style w:type="character" w:customStyle="1" w:styleId="12">
    <w:name w:val="批注框文本 字符"/>
    <w:basedOn w:val="10"/>
    <w:link w:val="5"/>
    <w:qFormat/>
    <w:uiPriority w:val="0"/>
    <w:rPr>
      <w:rFonts w:ascii="Calibri" w:hAnsi="Calibri" w:eastAsia="宋体" w:cs="Times New Roman"/>
      <w:kern w:val="2"/>
      <w:sz w:val="18"/>
      <w:szCs w:val="18"/>
    </w:rPr>
  </w:style>
  <w:style w:type="character" w:customStyle="1" w:styleId="13">
    <w:name w:val="页眉 字符"/>
    <w:basedOn w:val="10"/>
    <w:link w:val="7"/>
    <w:qFormat/>
    <w:uiPriority w:val="0"/>
    <w:rPr>
      <w:rFonts w:ascii="Calibri" w:hAnsi="Calibri"/>
      <w:kern w:val="2"/>
      <w:sz w:val="18"/>
      <w:szCs w:val="18"/>
    </w:rPr>
  </w:style>
  <w:style w:type="character" w:customStyle="1" w:styleId="14">
    <w:name w:val="批注文字 字符"/>
    <w:basedOn w:val="10"/>
    <w:link w:val="4"/>
    <w:qFormat/>
    <w:uiPriority w:val="0"/>
    <w:rPr>
      <w:rFonts w:ascii="Calibri" w:hAnsi="Calibri"/>
      <w:kern w:val="2"/>
      <w:sz w:val="21"/>
      <w:szCs w:val="24"/>
    </w:rPr>
  </w:style>
  <w:style w:type="character" w:customStyle="1" w:styleId="15">
    <w:name w:val="批注主题 字符"/>
    <w:basedOn w:val="14"/>
    <w:link w:val="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CC0CC-0D54-4CB1-910D-54135DBAE4B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223</Words>
  <Characters>1276</Characters>
  <Lines>10</Lines>
  <Paragraphs>2</Paragraphs>
  <TotalTime>12</TotalTime>
  <ScaleCrop>false</ScaleCrop>
  <LinksUpToDate>false</LinksUpToDate>
  <CharactersWithSpaces>1497</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2022-03-24T10:15:00Z</dcterms:created>
  <dc:creator>yuelicheng</dc:creator>
  <cp:lastModifiedBy>黄君仪</cp:lastModifiedBy>
  <cp:lastPrinted>2024-03-08T03:42:00Z</cp:lastPrinted>
  <dcterms:modified xsi:type="dcterms:W3CDTF">2024-03-18T09:46:26Z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4ECE8BC1900A4875968604C090E0533C_13</vt:lpwstr>
  </property>
</Properties>
</file>