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eastAsia"/>
        </w:rPr>
      </w:pPr>
      <w:r>
        <w:rPr>
          <w:rFonts w:ascii="Times New Roman" w:hAnsi="Times New Roman" w:eastAsia="仿宋_GB2312" w:cs="Times New Roman"/>
          <w:sz w:val="32"/>
          <w:szCs w:val="32"/>
          <w:shd w:val="clear" w:color="auto" w:fill="FFFFFF"/>
        </w:rPr>
        <w:t>附件2</w:t>
      </w:r>
    </w:p>
    <w:p>
      <w:pPr>
        <w:adjustRightInd w:val="0"/>
        <w:snapToGrid w:val="0"/>
        <w:jc w:val="center"/>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 xml:space="preserve"> </w:t>
      </w:r>
    </w:p>
    <w:p>
      <w:pPr>
        <w:adjustRightInd w:val="0"/>
        <w:snapToGrid w:val="0"/>
        <w:jc w:val="center"/>
        <w:rPr>
          <w:rFonts w:ascii="Times New Roman" w:hAnsi="Times New Roman" w:eastAsia="仿宋_GB2312" w:cs="Times New Roman"/>
          <w:sz w:val="32"/>
          <w:szCs w:val="32"/>
          <w:shd w:val="clear" w:color="auto" w:fill="FFFFFF"/>
        </w:rPr>
      </w:pPr>
    </w:p>
    <w:p>
      <w:pPr>
        <w:adjustRightInd w:val="0"/>
        <w:snapToGrid w:val="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rPr>
        <w:t>2023</w:t>
      </w:r>
    </w:p>
    <w:p>
      <w:pPr>
        <w:adjustRightInd w:val="0"/>
        <w:snapToGrid w:val="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年度第二十四批次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p>
    <w:p>
      <w:pPr>
        <w:adjustRightInd w:val="0"/>
        <w:snapToGrid w:val="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被征地农民养老保障方案</w:t>
      </w:r>
    </w:p>
    <w:p>
      <w:pPr>
        <w:rPr>
          <w:rFonts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kern w:val="0"/>
          <w:sz w:val="32"/>
          <w:szCs w:val="32"/>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2023年度第二十四批次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2023年度第二十四批次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2.</w:t>
      </w:r>
      <w:r>
        <w:rPr>
          <w:rFonts w:hint="eastAsia" w:ascii="Times New Roman" w:hAnsi="Times New Roman" w:eastAsia="黑体" w:cs="Times New Roman"/>
          <w:kern w:val="0"/>
          <w:sz w:val="32"/>
          <w:szCs w:val="32"/>
        </w:rPr>
        <w:t>6835亩）</w:t>
      </w:r>
      <w:r>
        <w:rPr>
          <w:rFonts w:ascii="Times New Roman" w:hAnsi="Times New Roman" w:eastAsia="黑体" w:cs="Times New Roman"/>
          <w:kern w:val="0"/>
          <w:sz w:val="32"/>
          <w:szCs w:val="32"/>
        </w:rPr>
        <w:t>涉及的被征地农民实施社会养老保障。</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ascii="Times New Roman" w:hAnsi="Times New Roman" w:eastAsia="仿宋_GB2312" w:cs="Times New Roman"/>
          <w:color w:val="000000"/>
          <w:sz w:val="32"/>
          <w:szCs w:val="32"/>
          <w:lang w:bidi="ar"/>
        </w:rPr>
        <w:t>龙湖街旺村村第</w:t>
      </w:r>
      <w:r>
        <w:rPr>
          <w:rFonts w:hint="eastAsia" w:ascii="Times New Roman" w:hAnsi="Times New Roman" w:eastAsia="仿宋_GB2312" w:cs="Times New Roman"/>
          <w:color w:val="000000"/>
          <w:kern w:val="0"/>
          <w:sz w:val="32"/>
          <w:szCs w:val="32"/>
          <w:shd w:val="clear" w:color="auto" w:fill="FFFFFF"/>
          <w:lang w:bidi="ar"/>
        </w:rPr>
        <w:t>一</w:t>
      </w:r>
      <w:r>
        <w:rPr>
          <w:rFonts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bidi="ar"/>
        </w:rPr>
        <w:t>第三经济合作社、</w:t>
      </w:r>
      <w:r>
        <w:rPr>
          <w:rFonts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bidi="ar"/>
        </w:rPr>
        <w:t>第四经济合作社、</w:t>
      </w:r>
      <w:r>
        <w:rPr>
          <w:rFonts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bidi="ar"/>
        </w:rPr>
        <w:t>第五经济合作社、</w:t>
      </w:r>
      <w:r>
        <w:rPr>
          <w:rFonts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bidi="ar"/>
        </w:rPr>
        <w:t>第六经济合作社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ascii="Times New Roman" w:hAnsi="Times New Roman" w:eastAsia="仿宋_GB2312" w:cs="Times New Roman"/>
          <w:color w:val="000000"/>
          <w:kern w:val="0"/>
          <w:sz w:val="32"/>
          <w:szCs w:val="32"/>
          <w:shd w:val="clear" w:color="auto" w:fill="FFFFFF"/>
          <w:lang w:bidi="ar"/>
        </w:rPr>
        <w:t>2.</w:t>
      </w:r>
      <w:r>
        <w:rPr>
          <w:rFonts w:hint="eastAsia" w:ascii="Times New Roman" w:hAnsi="Times New Roman" w:eastAsia="仿宋_GB2312" w:cs="Times New Roman"/>
          <w:color w:val="000000"/>
          <w:kern w:val="0"/>
          <w:sz w:val="32"/>
          <w:szCs w:val="32"/>
          <w:shd w:val="clear" w:color="auto" w:fill="FFFFFF"/>
          <w:lang w:bidi="ar"/>
        </w:rPr>
        <w:t>6835亩（其中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ascii="Times New Roman" w:hAnsi="Times New Roman" w:eastAsia="仿宋_GB2312" w:cs="Times New Roman"/>
          <w:color w:val="000000"/>
          <w:kern w:val="0"/>
          <w:sz w:val="32"/>
          <w:szCs w:val="32"/>
          <w:shd w:val="clear" w:color="auto" w:fill="FFFFFF"/>
          <w:lang w:bidi="ar"/>
        </w:rPr>
        <w:t>6.6</w:t>
      </w:r>
      <w:r>
        <w:rPr>
          <w:rFonts w:hint="eastAsia" w:ascii="Times New Roman" w:hAnsi="Times New Roman" w:eastAsia="仿宋_GB2312" w:cs="Times New Roman"/>
          <w:color w:val="000000"/>
          <w:kern w:val="0"/>
          <w:sz w:val="32"/>
          <w:szCs w:val="32"/>
          <w:shd w:val="clear" w:color="auto" w:fill="FFFFFF"/>
          <w:lang w:bidi="ar"/>
        </w:rPr>
        <w:t>4万元由征地主体（用地单位）一次性预存入我区人力资源社会保障部门开设的“收缴被征地农民养老保障资金过渡户”，计入征地成本，纳入工程项目概算。</w:t>
      </w:r>
    </w:p>
    <w:p>
      <w:pPr>
        <w:ind w:firstLine="640" w:firstLineChars="200"/>
        <w:jc w:val="left"/>
        <w:rPr>
          <w:rFonts w:ascii="Times New Roman" w:hAnsi="Times New Roman" w:eastAsia="仿宋_GB2312" w:cs="Times New Roman"/>
          <w:sz w:val="32"/>
          <w:szCs w:val="32"/>
          <w:u w:val="single"/>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shd w:val="clear" w:color="auto" w:fill="FFFFFF"/>
        <w:spacing w:line="540" w:lineRule="exact"/>
        <w:ind w:firstLine="614" w:firstLineChars="191"/>
        <w:rPr>
          <w:rFonts w:ascii="仿宋_GB2312" w:hAnsi="仿宋_GB2312" w:eastAsia="仿宋_GB2312" w:cs="仿宋_GB2312"/>
          <w:b/>
          <w:bCs/>
          <w:kern w:val="0"/>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附表：征地土地和社会保障情况一览表  </w:t>
      </w:r>
    </w:p>
    <w:p>
      <w:pPr>
        <w:rPr>
          <w:rFonts w:ascii="Times New Roman" w:hAnsi="Times New Roman" w:eastAsia="仿宋_GB2312" w:cs="Times New Roman"/>
          <w:kern w:val="32"/>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附表：</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927" w:type="dxa"/>
            <w:gridSpan w:val="2"/>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pPr>
              <w:widowControl/>
              <w:jc w:val="center"/>
              <w:textAlignment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944" w:type="dxa"/>
            <w:shd w:val="clear" w:color="auto" w:fill="FFFFFF"/>
            <w:noWrap/>
            <w:vAlign w:val="center"/>
          </w:tcPr>
          <w:p>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pPr>
              <w:widowControl/>
              <w:jc w:val="center"/>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bidi="ar"/>
              </w:rPr>
              <w:t>经济合作社/经济联合社</w:t>
            </w:r>
          </w:p>
        </w:tc>
        <w:tc>
          <w:tcPr>
            <w:tcW w:w="1400" w:type="dxa"/>
            <w:vMerge w:val="continue"/>
            <w:shd w:val="clear" w:color="auto" w:fill="FFFFFF"/>
            <w:vAlign w:val="center"/>
          </w:tcPr>
          <w:p>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pPr>
              <w:widowControl/>
              <w:jc w:val="center"/>
              <w:textAlignment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944" w:type="dxa"/>
            <w:vMerge w:val="restart"/>
            <w:shd w:val="clear" w:color="auto" w:fill="FFFFFF"/>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龙湖街</w:t>
            </w:r>
          </w:p>
        </w:tc>
        <w:tc>
          <w:tcPr>
            <w:tcW w:w="2983" w:type="dxa"/>
            <w:shd w:val="clear" w:color="auto" w:fill="FFFFFF"/>
            <w:vAlign w:val="center"/>
          </w:tcPr>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旺村村第三经济合作社</w:t>
            </w:r>
          </w:p>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旺村村第四经济合作社</w:t>
            </w:r>
          </w:p>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color w:val="000000"/>
                <w:kern w:val="0"/>
                <w:sz w:val="24"/>
                <w:szCs w:val="24"/>
                <w:lang w:bidi="ar"/>
              </w:rPr>
              <w:t>（共有）</w:t>
            </w:r>
          </w:p>
        </w:tc>
        <w:tc>
          <w:tcPr>
            <w:tcW w:w="1400" w:type="dxa"/>
            <w:shd w:val="clear" w:color="auto" w:fill="FFFFFF"/>
            <w:vAlign w:val="center"/>
          </w:tcPr>
          <w:p>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0.64</w:t>
            </w:r>
            <w:r>
              <w:rPr>
                <w:rFonts w:hint="eastAsia" w:ascii="Times New Roman" w:hAnsi="Times New Roman" w:eastAsia="仿宋_GB2312" w:cs="Times New Roman"/>
                <w:color w:val="000000"/>
                <w:kern w:val="0"/>
                <w:sz w:val="24"/>
                <w:szCs w:val="24"/>
                <w:lang w:bidi="ar"/>
              </w:rPr>
              <w:t>05</w:t>
            </w:r>
          </w:p>
        </w:tc>
        <w:tc>
          <w:tcPr>
            <w:tcW w:w="1440" w:type="dxa"/>
            <w:shd w:val="clear" w:color="auto" w:fill="FFFFFF"/>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0.0000</w:t>
            </w:r>
          </w:p>
        </w:tc>
        <w:tc>
          <w:tcPr>
            <w:tcW w:w="1770" w:type="dxa"/>
            <w:shd w:val="clear" w:color="auto" w:fill="FFFFFF"/>
            <w:noWrap/>
            <w:vAlign w:val="center"/>
          </w:tcPr>
          <w:p>
            <w:pPr>
              <w:widowControl/>
              <w:jc w:val="center"/>
              <w:textAlignment w:val="center"/>
              <w:rPr>
                <w:rFonts w:ascii="Times New Roman" w:hAnsi="Times New Roman" w:cs="Times New Roman"/>
                <w:sz w:val="24"/>
                <w:szCs w:val="24"/>
              </w:rPr>
            </w:pPr>
            <w:r>
              <w:rPr>
                <w:rFonts w:ascii="Times New Roman" w:hAnsi="Times New Roman" w:eastAsia="仿宋_GB2312" w:cs="Times New Roman"/>
                <w:color w:val="000000"/>
                <w:kern w:val="0"/>
                <w:sz w:val="24"/>
                <w:szCs w:val="24"/>
                <w:lang w:bidi="ar"/>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944"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983" w:type="dxa"/>
            <w:shd w:val="clear" w:color="auto" w:fill="FFFFFF"/>
            <w:vAlign w:val="center"/>
          </w:tcPr>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旺村村第五经济合作社</w:t>
            </w:r>
          </w:p>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旺村村第六经济合作社</w:t>
            </w:r>
          </w:p>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color w:val="000000"/>
                <w:kern w:val="0"/>
                <w:sz w:val="24"/>
                <w:szCs w:val="24"/>
                <w:lang w:bidi="ar"/>
              </w:rPr>
              <w:t>（共有）</w:t>
            </w:r>
          </w:p>
        </w:tc>
        <w:tc>
          <w:tcPr>
            <w:tcW w:w="1400" w:type="dxa"/>
            <w:shd w:val="clear" w:color="auto" w:fill="FFFFFF"/>
            <w:vAlign w:val="center"/>
          </w:tcPr>
          <w:p>
            <w:pPr>
              <w:widowControl/>
              <w:jc w:val="center"/>
              <w:textAlignment w:val="center"/>
              <w:rPr>
                <w:rFonts w:ascii="Times New Roman" w:hAnsi="Times New Roman" w:cs="Times New Roman"/>
                <w:sz w:val="24"/>
                <w:szCs w:val="24"/>
              </w:rPr>
            </w:pPr>
            <w:r>
              <w:rPr>
                <w:rFonts w:ascii="Times New Roman" w:hAnsi="Times New Roman" w:eastAsia="仿宋_GB2312" w:cs="Times New Roman"/>
                <w:color w:val="000000"/>
                <w:kern w:val="0"/>
                <w:sz w:val="24"/>
                <w:szCs w:val="24"/>
                <w:lang w:bidi="ar"/>
              </w:rPr>
              <w:t>0.2100</w:t>
            </w:r>
          </w:p>
        </w:tc>
        <w:tc>
          <w:tcPr>
            <w:tcW w:w="1440" w:type="dxa"/>
            <w:shd w:val="clear" w:color="auto" w:fill="FFFFFF"/>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0.0000</w:t>
            </w:r>
          </w:p>
        </w:tc>
        <w:tc>
          <w:tcPr>
            <w:tcW w:w="1770" w:type="dxa"/>
            <w:shd w:val="clear" w:color="auto" w:fill="FFFFFF"/>
            <w:noWrap/>
            <w:vAlign w:val="center"/>
          </w:tcPr>
          <w:p>
            <w:pPr>
              <w:widowControl/>
              <w:jc w:val="center"/>
              <w:textAlignment w:val="center"/>
              <w:rPr>
                <w:rFonts w:ascii="Times New Roman" w:hAnsi="Times New Roman" w:cs="Times New Roman"/>
                <w:sz w:val="24"/>
                <w:szCs w:val="24"/>
              </w:rPr>
            </w:pPr>
            <w:r>
              <w:rPr>
                <w:rFonts w:ascii="Times New Roman" w:hAnsi="Times New Roman" w:eastAsia="仿宋_GB2312" w:cs="Times New Roman"/>
                <w:color w:val="000000"/>
                <w:kern w:val="0"/>
                <w:sz w:val="24"/>
                <w:szCs w:val="24"/>
                <w:lang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944"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983" w:type="dxa"/>
            <w:shd w:val="clear" w:color="auto" w:fill="FFFFFF"/>
            <w:vAlign w:val="center"/>
          </w:tcPr>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旺村村第一经济合作社</w:t>
            </w:r>
          </w:p>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w:t>
            </w:r>
            <w:r>
              <w:rPr>
                <w:rFonts w:hint="eastAsia" w:ascii="Times New Roman" w:hAnsi="Times New Roman" w:eastAsia="仿宋_GB2312" w:cs="Times New Roman"/>
                <w:color w:val="000000"/>
                <w:kern w:val="0"/>
                <w:sz w:val="24"/>
                <w:szCs w:val="24"/>
                <w:lang w:bidi="ar"/>
              </w:rPr>
              <w:t>三</w:t>
            </w:r>
            <w:r>
              <w:rPr>
                <w:rFonts w:ascii="Times New Roman" w:hAnsi="Times New Roman" w:eastAsia="仿宋_GB2312" w:cs="Times New Roman"/>
                <w:color w:val="000000"/>
                <w:kern w:val="0"/>
                <w:sz w:val="24"/>
                <w:szCs w:val="24"/>
                <w:lang w:bidi="ar"/>
              </w:rPr>
              <w:t>经济合作社</w:t>
            </w:r>
          </w:p>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w:t>
            </w:r>
            <w:r>
              <w:rPr>
                <w:rFonts w:hint="eastAsia" w:ascii="Times New Roman" w:hAnsi="Times New Roman" w:eastAsia="仿宋_GB2312" w:cs="Times New Roman"/>
                <w:color w:val="000000"/>
                <w:kern w:val="0"/>
                <w:sz w:val="24"/>
                <w:szCs w:val="24"/>
                <w:lang w:bidi="ar"/>
              </w:rPr>
              <w:t>二</w:t>
            </w:r>
            <w:r>
              <w:rPr>
                <w:rFonts w:ascii="Times New Roman" w:hAnsi="Times New Roman" w:eastAsia="仿宋_GB2312" w:cs="Times New Roman"/>
                <w:color w:val="000000"/>
                <w:kern w:val="0"/>
                <w:sz w:val="24"/>
                <w:szCs w:val="24"/>
                <w:lang w:bidi="ar"/>
              </w:rPr>
              <w:t>经济合作社</w:t>
            </w:r>
          </w:p>
          <w:p>
            <w:pPr>
              <w:spacing w:line="360" w:lineRule="exact"/>
              <w:jc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旺村村第四经济合作社</w:t>
            </w:r>
          </w:p>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color w:val="000000"/>
                <w:kern w:val="0"/>
                <w:sz w:val="24"/>
                <w:szCs w:val="24"/>
                <w:lang w:bidi="ar"/>
              </w:rPr>
              <w:t>（共有）</w:t>
            </w:r>
          </w:p>
        </w:tc>
        <w:tc>
          <w:tcPr>
            <w:tcW w:w="1400" w:type="dxa"/>
            <w:shd w:val="clear" w:color="auto" w:fill="FFFFFF"/>
            <w:vAlign w:val="center"/>
          </w:tcPr>
          <w:p>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1.83</w:t>
            </w:r>
            <w:r>
              <w:rPr>
                <w:rFonts w:hint="eastAsia" w:ascii="Times New Roman" w:hAnsi="Times New Roman" w:eastAsia="仿宋_GB2312" w:cs="Times New Roman"/>
                <w:color w:val="000000"/>
                <w:kern w:val="0"/>
                <w:sz w:val="24"/>
                <w:szCs w:val="24"/>
                <w:lang w:bidi="ar"/>
              </w:rPr>
              <w:t>30</w:t>
            </w:r>
          </w:p>
        </w:tc>
        <w:tc>
          <w:tcPr>
            <w:tcW w:w="1440" w:type="dxa"/>
            <w:shd w:val="clear" w:color="auto" w:fill="FFFFFF"/>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0.0000</w:t>
            </w:r>
          </w:p>
        </w:tc>
        <w:tc>
          <w:tcPr>
            <w:tcW w:w="1770" w:type="dxa"/>
            <w:shd w:val="clear" w:color="auto" w:fill="FFFFFF"/>
            <w:noWrap/>
            <w:vAlign w:val="center"/>
          </w:tcPr>
          <w:p>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w:t>
            </w:r>
            <w:r>
              <w:rPr>
                <w:rFonts w:hint="eastAsia" w:ascii="Times New Roman" w:hAnsi="Times New Roman" w:eastAsia="仿宋_GB2312" w:cs="Times New Roman"/>
                <w:color w:val="000000"/>
                <w:kern w:val="0"/>
                <w:sz w:val="24"/>
                <w:szCs w:val="24"/>
                <w:lang w:bidi="ar"/>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3927" w:type="dxa"/>
            <w:gridSpan w:val="2"/>
            <w:shd w:val="clear" w:color="auto" w:fill="FFFFFF"/>
            <w:noWrap/>
            <w:vAlign w:val="center"/>
          </w:tcPr>
          <w:p>
            <w:pPr>
              <w:spacing w:line="360" w:lineRule="exact"/>
              <w:jc w:val="center"/>
              <w:rPr>
                <w:rFonts w:ascii="Times New Roman" w:hAnsi="Times New Roman" w:eastAsia="仿宋_GB2312" w:cs="Times New Roman"/>
                <w:sz w:val="22"/>
              </w:rPr>
            </w:pPr>
            <w:r>
              <w:rPr>
                <w:rFonts w:ascii="Times New Roman" w:hAnsi="Times New Roman" w:eastAsia="仿宋_GB2312" w:cs="Times New Roman"/>
                <w:sz w:val="22"/>
              </w:rPr>
              <w:t>合计</w:t>
            </w:r>
          </w:p>
        </w:tc>
        <w:tc>
          <w:tcPr>
            <w:tcW w:w="1400" w:type="dxa"/>
            <w:shd w:val="clear" w:color="auto" w:fill="FFFFFF"/>
            <w:vAlign w:val="center"/>
          </w:tcPr>
          <w:p>
            <w:pPr>
              <w:widowControl/>
              <w:jc w:val="center"/>
              <w:textAlignment w:val="center"/>
              <w:rPr>
                <w:rFonts w:ascii="Times New Roman" w:hAnsi="Times New Roman" w:eastAsia="宋体" w:cs="Times New Roman"/>
                <w:b/>
                <w:bCs/>
                <w:color w:val="000000"/>
                <w:kern w:val="0"/>
                <w:sz w:val="24"/>
                <w:szCs w:val="24"/>
                <w:lang w:bidi="ar"/>
              </w:rPr>
            </w:pPr>
            <w:r>
              <w:rPr>
                <w:rFonts w:ascii="Times New Roman" w:hAnsi="Times New Roman" w:eastAsia="宋体" w:cs="Times New Roman"/>
                <w:b/>
                <w:bCs/>
                <w:color w:val="000000"/>
                <w:kern w:val="0"/>
                <w:sz w:val="24"/>
                <w:szCs w:val="24"/>
                <w:lang w:bidi="ar"/>
              </w:rPr>
              <w:t>2.6</w:t>
            </w:r>
            <w:r>
              <w:rPr>
                <w:rFonts w:hint="eastAsia" w:ascii="Times New Roman" w:hAnsi="Times New Roman" w:eastAsia="宋体" w:cs="Times New Roman"/>
                <w:b/>
                <w:bCs/>
                <w:color w:val="000000"/>
                <w:kern w:val="0"/>
                <w:sz w:val="24"/>
                <w:szCs w:val="24"/>
                <w:lang w:bidi="ar"/>
              </w:rPr>
              <w:t>835</w:t>
            </w:r>
          </w:p>
        </w:tc>
        <w:tc>
          <w:tcPr>
            <w:tcW w:w="1440" w:type="dxa"/>
            <w:shd w:val="clear" w:color="auto" w:fill="FFFFFF"/>
            <w:vAlign w:val="center"/>
          </w:tcPr>
          <w:p>
            <w:pPr>
              <w:widowControl/>
              <w:jc w:val="center"/>
              <w:textAlignment w:val="center"/>
              <w:rPr>
                <w:rFonts w:ascii="Times New Roman" w:hAnsi="Times New Roman" w:eastAsia="宋体" w:cs="Times New Roman"/>
                <w:b/>
                <w:bCs/>
                <w:color w:val="000000"/>
                <w:kern w:val="0"/>
                <w:sz w:val="24"/>
                <w:szCs w:val="24"/>
                <w:lang w:bidi="ar"/>
              </w:rPr>
            </w:pPr>
            <w:r>
              <w:rPr>
                <w:rFonts w:hint="eastAsia" w:ascii="Times New Roman" w:hAnsi="Times New Roman" w:eastAsia="宋体" w:cs="Times New Roman"/>
                <w:b/>
                <w:bCs/>
                <w:color w:val="000000"/>
                <w:kern w:val="0"/>
                <w:sz w:val="24"/>
                <w:szCs w:val="24"/>
                <w:lang w:bidi="ar"/>
              </w:rPr>
              <w:t>0.0000</w:t>
            </w:r>
          </w:p>
        </w:tc>
        <w:tc>
          <w:tcPr>
            <w:tcW w:w="1770" w:type="dxa"/>
            <w:shd w:val="clear" w:color="auto" w:fill="FFFFFF"/>
            <w:noWrap/>
            <w:vAlign w:val="center"/>
          </w:tcPr>
          <w:p>
            <w:pPr>
              <w:spacing w:line="36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6.6</w:t>
            </w:r>
            <w:r>
              <w:rPr>
                <w:rFonts w:hint="eastAsia" w:ascii="Times New Roman" w:hAnsi="Times New Roman" w:eastAsia="仿宋_GB2312" w:cs="Times New Roman"/>
                <w:b/>
                <w:bCs/>
                <w:sz w:val="24"/>
                <w:szCs w:val="24"/>
              </w:rPr>
              <w:t>4</w:t>
            </w:r>
          </w:p>
        </w:tc>
      </w:tr>
    </w:tbl>
    <w:p/>
    <w:p>
      <w:pPr>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r>
        <w:rPr>
          <w:rFonts w:ascii="Times New Roman" w:hAnsi="Times New Roman" w:eastAsia="仿宋_GB2312" w:cs="Times New Roman"/>
          <w:kern w:val="0"/>
          <w:sz w:val="24"/>
          <w:szCs w:val="24"/>
        </w:rPr>
        <w:t>征地社保费计提标准2.47万元/亩，征地社保费计算结果向上区整、精确到百元。</w:t>
      </w:r>
    </w:p>
    <w:p>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被征收土地属于农村集体经济组织留用地的，不计提征地社保费。</w:t>
      </w:r>
    </w:p>
    <w:p/>
    <w:p/>
    <w:p/>
    <w:p>
      <w:pPr>
        <w:jc w:val="righ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广州市黄埔区人力资源和社会保障局</w:t>
      </w:r>
    </w:p>
    <w:p>
      <w:pPr>
        <w:jc w:val="center"/>
        <w:rPr>
          <w:rFonts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rPr>
        <w:t xml:space="preserve">                          </w:t>
      </w:r>
      <w:r>
        <w:rPr>
          <w:rFonts w:ascii="Times New Roman" w:hAnsi="Times New Roman" w:eastAsia="仿宋_GB2312" w:cs="Times New Roman"/>
          <w:kern w:val="32"/>
          <w:sz w:val="32"/>
          <w:szCs w:val="32"/>
        </w:rPr>
        <w:t>2024年</w:t>
      </w:r>
      <w:r>
        <w:rPr>
          <w:rFonts w:hint="eastAsia" w:ascii="Times New Roman" w:hAnsi="Times New Roman" w:eastAsia="仿宋_GB2312" w:cs="Times New Roman"/>
          <w:kern w:val="32"/>
          <w:sz w:val="32"/>
          <w:szCs w:val="32"/>
          <w:lang w:val="en-US" w:eastAsia="zh-CN"/>
        </w:rPr>
        <w:t>1</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val="en-US" w:eastAsia="zh-CN"/>
        </w:rPr>
        <w:t>22</w:t>
      </w:r>
      <w:bookmarkStart w:id="0" w:name="_GoBack"/>
      <w:bookmarkEnd w:id="0"/>
      <w:r>
        <w:rPr>
          <w:rFonts w:ascii="Times New Roman" w:hAnsi="Times New Roman" w:eastAsia="仿宋_GB2312" w:cs="Times New Roman"/>
          <w:kern w:val="32"/>
          <w:sz w:val="32"/>
          <w:szCs w:val="32"/>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DhiNTk0YjE0YjEzNDkyYWFiYzJmYTJhNGFkZWYifQ=="/>
  </w:docVars>
  <w:rsids>
    <w:rsidRoot w:val="0B4B15E0"/>
    <w:rsid w:val="001370B4"/>
    <w:rsid w:val="0015441B"/>
    <w:rsid w:val="002D5481"/>
    <w:rsid w:val="006757CD"/>
    <w:rsid w:val="006A09FB"/>
    <w:rsid w:val="006A763E"/>
    <w:rsid w:val="008B62CB"/>
    <w:rsid w:val="00F44FC2"/>
    <w:rsid w:val="0B4B15E0"/>
    <w:rsid w:val="1F83666D"/>
    <w:rsid w:val="20294894"/>
    <w:rsid w:val="21156E47"/>
    <w:rsid w:val="25891A7E"/>
    <w:rsid w:val="2C3345A9"/>
    <w:rsid w:val="322042FF"/>
    <w:rsid w:val="37F05781"/>
    <w:rsid w:val="3AA96AAC"/>
    <w:rsid w:val="43D033F4"/>
    <w:rsid w:val="54C43185"/>
    <w:rsid w:val="58130E4C"/>
    <w:rsid w:val="5A42598E"/>
    <w:rsid w:val="5F4452A5"/>
    <w:rsid w:val="62786196"/>
    <w:rsid w:val="6862560A"/>
    <w:rsid w:val="698D229C"/>
    <w:rsid w:val="6AB01C88"/>
    <w:rsid w:val="6D1360D4"/>
    <w:rsid w:val="722446C4"/>
    <w:rsid w:val="743A198E"/>
    <w:rsid w:val="743F2E6D"/>
    <w:rsid w:val="74C97370"/>
    <w:rsid w:val="782F604C"/>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Words>
  <Characters>1192</Characters>
  <Lines>9</Lines>
  <Paragraphs>2</Paragraphs>
  <TotalTime>176</TotalTime>
  <ScaleCrop>false</ScaleCrop>
  <LinksUpToDate>false</LinksUpToDate>
  <CharactersWithSpaces>1399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24317</cp:lastModifiedBy>
  <dcterms:modified xsi:type="dcterms:W3CDTF">2024-02-04T06:10:44Z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E2EE30C0EFF14F30B985E75C9C6CFC64</vt:lpwstr>
  </property>
</Properties>
</file>