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FD522" w14:textId="77777777" w:rsidR="00B7196C" w:rsidRDefault="00000000">
      <w:pPr>
        <w:tabs>
          <w:tab w:val="left" w:pos="2160"/>
          <w:tab w:val="left" w:pos="2340"/>
          <w:tab w:val="left" w:pos="6480"/>
        </w:tabs>
        <w:autoSpaceDE/>
        <w:autoSpaceDN/>
        <w:spacing w:line="579" w:lineRule="exact"/>
        <w:ind w:rightChars="11" w:right="24"/>
        <w:jc w:val="both"/>
        <w:rPr>
          <w:rFonts w:ascii="Times New Roman" w:eastAsia="仿宋_GB2312" w:hAnsi="Times New Roman" w:cs="Times New Roman"/>
          <w:kern w:val="2"/>
          <w:sz w:val="32"/>
          <w:szCs w:val="32"/>
          <w:shd w:val="clear" w:color="auto" w:fill="FFFFFF"/>
        </w:rPr>
      </w:pPr>
      <w:r>
        <w:rPr>
          <w:rFonts w:ascii="Times New Roman" w:eastAsia="仿宋_GB2312" w:hAnsi="Times New Roman" w:cs="Times New Roman" w:hint="eastAsia"/>
          <w:kern w:val="2"/>
          <w:sz w:val="32"/>
          <w:szCs w:val="32"/>
          <w:shd w:val="clear" w:color="auto" w:fill="FFFFFF"/>
        </w:rPr>
        <w:t>附件</w:t>
      </w:r>
      <w:r>
        <w:rPr>
          <w:rFonts w:ascii="Times New Roman" w:eastAsia="仿宋_GB2312" w:hAnsi="Times New Roman" w:cs="Times New Roman" w:hint="eastAsia"/>
          <w:kern w:val="2"/>
          <w:sz w:val="32"/>
          <w:szCs w:val="32"/>
          <w:shd w:val="clear" w:color="auto" w:fill="FFFFFF"/>
        </w:rPr>
        <w:t>1</w:t>
      </w:r>
    </w:p>
    <w:p w14:paraId="48703359" w14:textId="77777777" w:rsidR="00B7196C" w:rsidRDefault="00B7196C">
      <w:pPr>
        <w:autoSpaceDE/>
        <w:autoSpaceDN/>
        <w:adjustRightInd w:val="0"/>
        <w:snapToGrid w:val="0"/>
        <w:spacing w:line="640" w:lineRule="exact"/>
        <w:jc w:val="center"/>
        <w:rPr>
          <w:rFonts w:ascii="Times New Roman" w:eastAsia="方正小标宋简体" w:hAnsi="Times New Roman" w:cs="Times New Roman"/>
          <w:color w:val="000000"/>
          <w:sz w:val="44"/>
          <w:szCs w:val="44"/>
        </w:rPr>
      </w:pPr>
    </w:p>
    <w:p w14:paraId="136EA770" w14:textId="77777777" w:rsidR="00B7196C" w:rsidRDefault="00000000">
      <w:pPr>
        <w:autoSpaceDE/>
        <w:autoSpaceDN/>
        <w:adjustRightInd w:val="0"/>
        <w:snapToGrid w:val="0"/>
        <w:spacing w:line="640" w:lineRule="exact"/>
        <w:jc w:val="center"/>
        <w:rPr>
          <w:rFonts w:ascii="Times New Roman" w:eastAsia="方正小标宋简体" w:hAnsi="Times New Roman" w:cs="Times New Roman"/>
          <w:color w:val="000000"/>
          <w:sz w:val="44"/>
          <w:szCs w:val="44"/>
        </w:rPr>
      </w:pPr>
      <w:r>
        <w:rPr>
          <w:rFonts w:ascii="Times New Roman" w:eastAsia="方正小标宋简体" w:hAnsi="Times New Roman" w:cs="Times New Roman"/>
          <w:color w:val="000000"/>
          <w:sz w:val="44"/>
          <w:szCs w:val="44"/>
        </w:rPr>
        <w:t>关于广州市黄埔区（中新广州知识城）</w:t>
      </w:r>
    </w:p>
    <w:p w14:paraId="171A3FD1" w14:textId="77777777" w:rsidR="00B7196C" w:rsidRDefault="00000000">
      <w:pPr>
        <w:autoSpaceDE/>
        <w:autoSpaceDN/>
        <w:adjustRightInd w:val="0"/>
        <w:snapToGrid w:val="0"/>
        <w:spacing w:line="640" w:lineRule="exact"/>
        <w:jc w:val="center"/>
        <w:rPr>
          <w:rFonts w:ascii="Times New Roman" w:eastAsia="方正小标宋简体" w:hAnsi="Times New Roman" w:cs="Times New Roman"/>
          <w:color w:val="000000"/>
          <w:sz w:val="44"/>
          <w:szCs w:val="44"/>
        </w:rPr>
      </w:pPr>
      <w:r>
        <w:rPr>
          <w:rFonts w:ascii="Times New Roman" w:eastAsia="方正小标宋简体" w:hAnsi="Times New Roman" w:cs="Times New Roman" w:hint="eastAsia"/>
          <w:color w:val="000000"/>
          <w:sz w:val="44"/>
          <w:szCs w:val="44"/>
        </w:rPr>
        <w:t>2023</w:t>
      </w:r>
      <w:r>
        <w:rPr>
          <w:rFonts w:ascii="Times New Roman" w:eastAsia="方正小标宋简体" w:hAnsi="Times New Roman" w:cs="Times New Roman" w:hint="eastAsia"/>
          <w:color w:val="000000"/>
          <w:sz w:val="44"/>
          <w:szCs w:val="44"/>
        </w:rPr>
        <w:t>年度第二十七批次</w:t>
      </w:r>
      <w:r>
        <w:rPr>
          <w:rFonts w:ascii="Times New Roman" w:eastAsia="方正小标宋简体" w:hAnsi="Times New Roman" w:cs="Times New Roman"/>
          <w:color w:val="000000"/>
          <w:sz w:val="44"/>
          <w:szCs w:val="44"/>
        </w:rPr>
        <w:t>城镇建设用地</w:t>
      </w:r>
    </w:p>
    <w:p w14:paraId="650EFD61" w14:textId="77777777" w:rsidR="00B7196C" w:rsidRDefault="00000000">
      <w:pPr>
        <w:autoSpaceDE/>
        <w:autoSpaceDN/>
        <w:adjustRightInd w:val="0"/>
        <w:snapToGrid w:val="0"/>
        <w:spacing w:line="640" w:lineRule="exact"/>
        <w:jc w:val="center"/>
        <w:rPr>
          <w:spacing w:val="20"/>
          <w:sz w:val="30"/>
        </w:rPr>
      </w:pPr>
      <w:r>
        <w:rPr>
          <w:rFonts w:ascii="Times New Roman" w:eastAsia="方正小标宋简体" w:hAnsi="Times New Roman" w:cs="Times New Roman"/>
          <w:color w:val="000000"/>
          <w:sz w:val="44"/>
          <w:szCs w:val="44"/>
        </w:rPr>
        <w:t>征地补偿安置方案</w:t>
      </w:r>
    </w:p>
    <w:p w14:paraId="0B1B64E2" w14:textId="77777777" w:rsidR="00B7196C" w:rsidRDefault="00B7196C">
      <w:pPr>
        <w:autoSpaceDE/>
        <w:autoSpaceDN/>
        <w:ind w:firstLineChars="200" w:firstLine="420"/>
        <w:jc w:val="both"/>
        <w:rPr>
          <w:rFonts w:ascii="Times New Roman" w:eastAsia="仿宋_GB2312" w:hAnsi="Times New Roman" w:cs="Times New Roman"/>
          <w:kern w:val="2"/>
          <w:sz w:val="21"/>
          <w:szCs w:val="21"/>
        </w:rPr>
      </w:pPr>
    </w:p>
    <w:p w14:paraId="34F9E222" w14:textId="77777777" w:rsidR="00B7196C" w:rsidRDefault="00000000">
      <w:pPr>
        <w:autoSpaceDE/>
        <w:autoSpaceDN/>
        <w:spacing w:line="60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为实施中新广州知识城建设规划，完善城市功能，改善城市环境，促进经济、文化发展。我区拟征收广州市黄埔区龙湖街</w:t>
      </w:r>
      <w:r>
        <w:rPr>
          <w:rFonts w:ascii="Times New Roman" w:eastAsia="仿宋_GB2312" w:hAnsi="Times New Roman" w:cs="Times New Roman" w:hint="eastAsia"/>
          <w:kern w:val="2"/>
          <w:sz w:val="32"/>
          <w:szCs w:val="32"/>
        </w:rPr>
        <w:t>道</w:t>
      </w:r>
      <w:r>
        <w:rPr>
          <w:rFonts w:ascii="Times New Roman" w:eastAsia="仿宋_GB2312" w:hAnsi="Times New Roman" w:cs="Times New Roman"/>
          <w:kern w:val="2"/>
          <w:sz w:val="32"/>
          <w:szCs w:val="32"/>
        </w:rPr>
        <w:t>汤村村上一经济合作社、汤村村上二经济合作社、汤村村上三经济合作社、汤村村上四经济合作社、汤村村下一经济合作社、汤村村下二经济合作社、汤村村下三经济合作社、汤村村经济联合社属下的集体土地合计</w:t>
      </w:r>
      <w:r>
        <w:rPr>
          <w:rFonts w:ascii="Times New Roman" w:eastAsia="仿宋_GB2312" w:hAnsi="Times New Roman" w:cs="Times New Roman" w:hint="eastAsia"/>
          <w:kern w:val="2"/>
          <w:sz w:val="32"/>
          <w:szCs w:val="32"/>
        </w:rPr>
        <w:t>7.6008</w:t>
      </w:r>
      <w:r>
        <w:rPr>
          <w:rFonts w:ascii="Times New Roman" w:eastAsia="仿宋_GB2312" w:hAnsi="Times New Roman" w:cs="Times New Roman"/>
          <w:kern w:val="2"/>
          <w:sz w:val="32"/>
          <w:szCs w:val="32"/>
        </w:rPr>
        <w:t>公顷。根据《中华人民共和国土地管理法》第二条、第四十五条、第四十七条有关规定精神、</w:t>
      </w:r>
      <w:r>
        <w:rPr>
          <w:rFonts w:ascii="Times New Roman" w:eastAsia="仿宋_GB2312" w:hAnsi="Times New Roman" w:cs="Times New Roman"/>
          <w:sz w:val="32"/>
          <w:szCs w:val="32"/>
          <w:shd w:val="clear" w:color="auto" w:fill="FFFFFF"/>
        </w:rPr>
        <w:t>《中华人民共和国土地管理法实施条例》第二十七条、第二十八条，以及《广东省土地管理条例》第三十条等规定，结合我区的征收农用地区片综合地价和实际情况，拟定了征地补偿安置方案，具体如下</w:t>
      </w:r>
      <w:r>
        <w:rPr>
          <w:rFonts w:ascii="Times New Roman" w:eastAsia="仿宋_GB2312" w:hAnsi="Times New Roman" w:cs="Times New Roman"/>
          <w:sz w:val="32"/>
          <w:szCs w:val="32"/>
        </w:rPr>
        <w:t>：</w:t>
      </w:r>
    </w:p>
    <w:p w14:paraId="7164F662" w14:textId="77777777" w:rsidR="00B7196C" w:rsidRDefault="00000000">
      <w:pPr>
        <w:tabs>
          <w:tab w:val="left" w:pos="2160"/>
          <w:tab w:val="left" w:pos="2340"/>
          <w:tab w:val="left" w:pos="6480"/>
        </w:tabs>
        <w:autoSpaceDE/>
        <w:autoSpaceDN/>
        <w:spacing w:line="600" w:lineRule="exact"/>
        <w:ind w:rightChars="11" w:right="24" w:firstLineChars="200" w:firstLine="640"/>
        <w:rPr>
          <w:rFonts w:ascii="黑体" w:eastAsia="黑体" w:hAnsi="黑体" w:cs="黑体"/>
          <w:sz w:val="32"/>
          <w:szCs w:val="32"/>
        </w:rPr>
      </w:pPr>
      <w:r>
        <w:rPr>
          <w:rFonts w:ascii="黑体" w:eastAsia="黑体" w:hAnsi="黑体" w:cs="黑体" w:hint="eastAsia"/>
          <w:sz w:val="32"/>
          <w:szCs w:val="32"/>
        </w:rPr>
        <w:t>一、征收范围</w:t>
      </w:r>
    </w:p>
    <w:p w14:paraId="494D0B1B" w14:textId="77777777" w:rsidR="00B7196C" w:rsidRDefault="00000000">
      <w:pPr>
        <w:autoSpaceDE/>
        <w:autoSpaceDN/>
        <w:spacing w:line="60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hint="eastAsia"/>
          <w:sz w:val="32"/>
          <w:szCs w:val="32"/>
        </w:rPr>
        <w:t>拟</w:t>
      </w:r>
      <w:r>
        <w:rPr>
          <w:rFonts w:ascii="Times New Roman" w:eastAsia="仿宋_GB2312" w:hAnsi="Times New Roman" w:cs="Times New Roman"/>
          <w:sz w:val="32"/>
          <w:szCs w:val="32"/>
        </w:rPr>
        <w:t>征收</w:t>
      </w:r>
      <w:r>
        <w:rPr>
          <w:rFonts w:ascii="Times New Roman" w:eastAsia="仿宋_GB2312" w:hAnsi="Times New Roman" w:cs="Times New Roman" w:hint="eastAsia"/>
          <w:sz w:val="32"/>
          <w:szCs w:val="32"/>
        </w:rPr>
        <w:t>土地位于</w:t>
      </w:r>
      <w:r>
        <w:rPr>
          <w:rFonts w:ascii="Times New Roman" w:eastAsia="仿宋_GB2312" w:hAnsi="Times New Roman" w:cs="Times New Roman"/>
          <w:color w:val="000000"/>
          <w:sz w:val="32"/>
          <w:szCs w:val="32"/>
          <w:lang w:bidi="ar"/>
        </w:rPr>
        <w:t>广州市黄埔区</w:t>
      </w:r>
      <w:r>
        <w:rPr>
          <w:rFonts w:ascii="Times New Roman" w:eastAsia="仿宋_GB2312" w:hAnsi="Times New Roman" w:cs="Times New Roman" w:hint="eastAsia"/>
          <w:color w:val="000000"/>
          <w:sz w:val="32"/>
          <w:szCs w:val="32"/>
          <w:lang w:bidi="ar"/>
        </w:rPr>
        <w:t>龙湖街道</w:t>
      </w:r>
      <w:r>
        <w:rPr>
          <w:rFonts w:ascii="Times New Roman" w:eastAsia="仿宋_GB2312" w:hAnsi="Times New Roman" w:cs="Times New Roman" w:hint="eastAsia"/>
          <w:sz w:val="32"/>
          <w:szCs w:val="32"/>
          <w:lang w:bidi="ar"/>
        </w:rPr>
        <w:t>汤村村</w:t>
      </w:r>
      <w:r>
        <w:rPr>
          <w:rFonts w:ascii="Times New Roman" w:eastAsia="仿宋_GB2312" w:hAnsi="Times New Roman" w:cs="Times New Roman" w:hint="eastAsia"/>
          <w:kern w:val="2"/>
          <w:sz w:val="32"/>
          <w:szCs w:val="32"/>
        </w:rPr>
        <w:t>上一经济合作社、汤村村上二经济合作社、汤村村上三经济合作社、汤村村上四经济合作社、汤村村下一经济合作社、汤村村下二经济合作社、汤村村下三经济合作社、汤村村经济联合社范围内，具体位置详见附图。</w:t>
      </w:r>
    </w:p>
    <w:p w14:paraId="2BAFEE3D" w14:textId="77777777" w:rsidR="00B7196C" w:rsidRDefault="00000000">
      <w:pPr>
        <w:autoSpaceDE/>
        <w:autoSpaceDN/>
        <w:spacing w:line="600" w:lineRule="exact"/>
        <w:ind w:firstLineChars="200" w:firstLine="640"/>
        <w:jc w:val="both"/>
        <w:rPr>
          <w:rFonts w:ascii="Times New Roman" w:eastAsia="仿宋_GB2312" w:hAnsi="Times New Roman" w:cs="Times New Roman"/>
          <w:bCs/>
          <w:kern w:val="2"/>
          <w:sz w:val="32"/>
          <w:szCs w:val="32"/>
        </w:rPr>
      </w:pPr>
      <w:r>
        <w:rPr>
          <w:rFonts w:ascii="Times New Roman" w:eastAsia="仿宋_GB2312" w:hAnsi="Times New Roman" w:cs="Times New Roman" w:hint="eastAsia"/>
          <w:bCs/>
          <w:kern w:val="2"/>
          <w:sz w:val="32"/>
          <w:szCs w:val="32"/>
        </w:rPr>
        <w:t>实际征收土地范围以最终批准文件为准。</w:t>
      </w:r>
    </w:p>
    <w:p w14:paraId="1753756D" w14:textId="77777777" w:rsidR="00B7196C" w:rsidRDefault="00000000">
      <w:pPr>
        <w:numPr>
          <w:ilvl w:val="0"/>
          <w:numId w:val="1"/>
        </w:numPr>
        <w:autoSpaceDE/>
        <w:autoSpaceDN/>
        <w:spacing w:line="600" w:lineRule="exact"/>
        <w:ind w:firstLineChars="200" w:firstLine="640"/>
        <w:rPr>
          <w:rFonts w:ascii="黑体" w:eastAsia="黑体" w:hAnsi="黑体" w:cs="黑体"/>
          <w:color w:val="000000"/>
          <w:sz w:val="32"/>
          <w:szCs w:val="32"/>
          <w:lang w:bidi="ar"/>
        </w:rPr>
      </w:pPr>
      <w:r>
        <w:rPr>
          <w:rFonts w:ascii="黑体" w:eastAsia="黑体" w:hAnsi="黑体" w:cs="黑体" w:hint="eastAsia"/>
          <w:color w:val="000000"/>
          <w:sz w:val="32"/>
          <w:szCs w:val="32"/>
          <w:lang w:bidi="ar"/>
        </w:rPr>
        <w:t>征收目的</w:t>
      </w:r>
    </w:p>
    <w:p w14:paraId="77CC9336" w14:textId="77777777" w:rsidR="00B7196C" w:rsidRDefault="00000000">
      <w:pPr>
        <w:autoSpaceDE/>
        <w:autoSpaceDN/>
        <w:spacing w:line="600" w:lineRule="exact"/>
        <w:ind w:firstLineChars="200" w:firstLine="640"/>
        <w:jc w:val="both"/>
        <w:rPr>
          <w:rFonts w:ascii="Times New Roman" w:eastAsia="仿宋_GB2312" w:hAnsi="Times New Roman" w:cs="Times New Roman"/>
          <w:bCs/>
          <w:kern w:val="2"/>
          <w:sz w:val="32"/>
          <w:szCs w:val="32"/>
        </w:rPr>
      </w:pPr>
      <w:r>
        <w:rPr>
          <w:rFonts w:ascii="Times New Roman" w:eastAsia="仿宋_GB2312" w:hAnsi="Times New Roman" w:cs="Times New Roman" w:hint="eastAsia"/>
          <w:bCs/>
          <w:kern w:val="2"/>
          <w:sz w:val="32"/>
          <w:szCs w:val="32"/>
        </w:rPr>
        <w:t>根据《中华人民共和国土地管理法》第四十五条的规定，本次</w:t>
      </w:r>
      <w:r>
        <w:rPr>
          <w:rFonts w:ascii="Times New Roman" w:eastAsia="仿宋_GB2312" w:hAnsi="Times New Roman" w:cs="Times New Roman" w:hint="eastAsia"/>
          <w:bCs/>
          <w:kern w:val="2"/>
          <w:sz w:val="32"/>
          <w:szCs w:val="32"/>
        </w:rPr>
        <w:lastRenderedPageBreak/>
        <w:t>征收土地目的为在土地利用总体规划确定的城镇建设用地范围内，经省级以上人民政府批准由县级以上地方人民政府组织实施的成片开发建设需要用地的。</w:t>
      </w:r>
    </w:p>
    <w:p w14:paraId="7E387CCB" w14:textId="77777777" w:rsidR="00B7196C" w:rsidRDefault="00000000">
      <w:pPr>
        <w:numPr>
          <w:ilvl w:val="0"/>
          <w:numId w:val="1"/>
        </w:numPr>
        <w:autoSpaceDE/>
        <w:autoSpaceDN/>
        <w:spacing w:line="600" w:lineRule="exact"/>
        <w:ind w:firstLineChars="200" w:firstLine="640"/>
        <w:rPr>
          <w:rFonts w:ascii="黑体" w:eastAsia="黑体" w:hAnsi="黑体" w:cs="黑体"/>
          <w:color w:val="000000"/>
          <w:sz w:val="32"/>
          <w:szCs w:val="32"/>
          <w:lang w:bidi="ar"/>
        </w:rPr>
      </w:pPr>
      <w:r>
        <w:rPr>
          <w:rFonts w:ascii="黑体" w:eastAsia="黑体" w:hAnsi="黑体" w:cs="黑体" w:hint="eastAsia"/>
          <w:color w:val="000000"/>
          <w:sz w:val="32"/>
          <w:szCs w:val="32"/>
          <w:lang w:bidi="ar"/>
        </w:rPr>
        <w:t>土地现状</w:t>
      </w:r>
    </w:p>
    <w:p w14:paraId="58187374" w14:textId="77777777" w:rsidR="00B7196C" w:rsidRDefault="00000000">
      <w:pPr>
        <w:spacing w:line="560" w:lineRule="exact"/>
        <w:ind w:firstLineChars="200" w:firstLine="640"/>
        <w:rPr>
          <w:rFonts w:eastAsia="仿宋_GB2312"/>
          <w:sz w:val="32"/>
        </w:rPr>
      </w:pPr>
      <w:r>
        <w:rPr>
          <w:rFonts w:eastAsia="仿宋_GB2312"/>
          <w:sz w:val="32"/>
        </w:rPr>
        <w:t>根据拟征收土地现状调查结果，拟征收土地现状为</w:t>
      </w:r>
    </w:p>
    <w:p w14:paraId="3D11FEC9" w14:textId="77777777" w:rsidR="00B7196C" w:rsidRDefault="00000000">
      <w:pPr>
        <w:numPr>
          <w:ilvl w:val="255"/>
          <w:numId w:val="0"/>
        </w:numPr>
        <w:autoSpaceDE/>
        <w:autoSpaceDN/>
        <w:ind w:firstLineChars="200" w:firstLine="640"/>
        <w:jc w:val="right"/>
        <w:rPr>
          <w:rFonts w:ascii="Times New Roman" w:eastAsia="仿宋_GB2312" w:hAnsi="Times New Roman" w:cs="Times New Roman"/>
          <w:bCs/>
          <w:kern w:val="2"/>
          <w:sz w:val="32"/>
          <w:szCs w:val="32"/>
        </w:rPr>
      </w:pPr>
      <w:r>
        <w:rPr>
          <w:rFonts w:ascii="Times New Roman" w:eastAsia="仿宋_GB2312" w:hAnsi="Times New Roman" w:cs="Times New Roman" w:hint="eastAsia"/>
          <w:bCs/>
          <w:kern w:val="2"/>
          <w:sz w:val="32"/>
          <w:szCs w:val="32"/>
        </w:rPr>
        <w:t>单位：公顷</w:t>
      </w:r>
    </w:p>
    <w:tbl>
      <w:tblPr>
        <w:tblW w:w="85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414"/>
        <w:gridCol w:w="960"/>
        <w:gridCol w:w="1032"/>
        <w:gridCol w:w="888"/>
        <w:gridCol w:w="1085"/>
        <w:gridCol w:w="1144"/>
      </w:tblGrid>
      <w:tr w:rsidR="00B7196C" w14:paraId="6B3F2A52" w14:textId="77777777">
        <w:trPr>
          <w:trHeight w:val="737"/>
          <w:tblHeader/>
          <w:jc w:val="center"/>
        </w:trPr>
        <w:tc>
          <w:tcPr>
            <w:tcW w:w="3414" w:type="dxa"/>
            <w:tcBorders>
              <w:tl2br w:val="nil"/>
              <w:tr2bl w:val="nil"/>
            </w:tcBorders>
            <w:vAlign w:val="center"/>
          </w:tcPr>
          <w:p w14:paraId="76683018" w14:textId="77777777" w:rsidR="00B7196C" w:rsidRDefault="00000000">
            <w:pPr>
              <w:widowControl/>
              <w:jc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sz w:val="24"/>
                <w:szCs w:val="24"/>
              </w:rPr>
              <w:t>被征地单位</w:t>
            </w:r>
          </w:p>
        </w:tc>
        <w:tc>
          <w:tcPr>
            <w:tcW w:w="960" w:type="dxa"/>
            <w:tcBorders>
              <w:tl2br w:val="nil"/>
              <w:tr2bl w:val="nil"/>
            </w:tcBorders>
            <w:vAlign w:val="center"/>
          </w:tcPr>
          <w:p w14:paraId="160A0913" w14:textId="77777777" w:rsidR="00B7196C" w:rsidRDefault="00000000">
            <w:pPr>
              <w:widowControl/>
              <w:jc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sz w:val="24"/>
                <w:szCs w:val="24"/>
              </w:rPr>
              <w:t>总面积</w:t>
            </w:r>
          </w:p>
        </w:tc>
        <w:tc>
          <w:tcPr>
            <w:tcW w:w="1032" w:type="dxa"/>
            <w:tcBorders>
              <w:tl2br w:val="nil"/>
              <w:tr2bl w:val="nil"/>
            </w:tcBorders>
            <w:vAlign w:val="center"/>
          </w:tcPr>
          <w:p w14:paraId="1A0AD73A" w14:textId="77777777" w:rsidR="00B7196C" w:rsidRDefault="00000000">
            <w:pPr>
              <w:widowControl/>
              <w:jc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sz w:val="24"/>
                <w:szCs w:val="24"/>
              </w:rPr>
              <w:t>农用地面积</w:t>
            </w:r>
          </w:p>
        </w:tc>
        <w:tc>
          <w:tcPr>
            <w:tcW w:w="888" w:type="dxa"/>
            <w:tcBorders>
              <w:tl2br w:val="nil"/>
              <w:tr2bl w:val="nil"/>
            </w:tcBorders>
            <w:vAlign w:val="center"/>
          </w:tcPr>
          <w:p w14:paraId="2CEF7DD3" w14:textId="77777777" w:rsidR="00B7196C" w:rsidRDefault="00000000">
            <w:pPr>
              <w:widowControl/>
              <w:jc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sz w:val="24"/>
                <w:szCs w:val="24"/>
              </w:rPr>
              <w:t>耕地</w:t>
            </w:r>
          </w:p>
          <w:p w14:paraId="7ABAD281" w14:textId="77777777" w:rsidR="00B7196C" w:rsidRDefault="00000000">
            <w:pPr>
              <w:widowControl/>
              <w:jc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sz w:val="24"/>
                <w:szCs w:val="24"/>
              </w:rPr>
              <w:t>面积</w:t>
            </w:r>
          </w:p>
        </w:tc>
        <w:tc>
          <w:tcPr>
            <w:tcW w:w="1085" w:type="dxa"/>
            <w:tcBorders>
              <w:tl2br w:val="nil"/>
              <w:tr2bl w:val="nil"/>
            </w:tcBorders>
            <w:vAlign w:val="center"/>
          </w:tcPr>
          <w:p w14:paraId="6C2A8A4F" w14:textId="77777777" w:rsidR="00B7196C" w:rsidRDefault="00000000">
            <w:pPr>
              <w:widowControl/>
              <w:jc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sz w:val="24"/>
                <w:szCs w:val="24"/>
              </w:rPr>
              <w:t>建设用地面积</w:t>
            </w:r>
          </w:p>
        </w:tc>
        <w:tc>
          <w:tcPr>
            <w:tcW w:w="1144" w:type="dxa"/>
            <w:tcBorders>
              <w:tl2br w:val="nil"/>
              <w:tr2bl w:val="nil"/>
            </w:tcBorders>
            <w:vAlign w:val="center"/>
          </w:tcPr>
          <w:p w14:paraId="3708E4D2" w14:textId="77777777" w:rsidR="00B7196C" w:rsidRDefault="00000000">
            <w:pPr>
              <w:widowControl/>
              <w:jc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sz w:val="24"/>
                <w:szCs w:val="24"/>
              </w:rPr>
              <w:t>未利用地面积</w:t>
            </w:r>
          </w:p>
        </w:tc>
      </w:tr>
      <w:tr w:rsidR="00B7196C" w14:paraId="5BCA81C5" w14:textId="77777777">
        <w:trPr>
          <w:trHeight w:val="559"/>
          <w:jc w:val="center"/>
        </w:trPr>
        <w:tc>
          <w:tcPr>
            <w:tcW w:w="3414" w:type="dxa"/>
            <w:tcBorders>
              <w:tl2br w:val="nil"/>
              <w:tr2bl w:val="nil"/>
            </w:tcBorders>
            <w:vAlign w:val="center"/>
          </w:tcPr>
          <w:p w14:paraId="71478A6A" w14:textId="77777777" w:rsidR="00B7196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color w:val="000000"/>
                <w:sz w:val="24"/>
                <w:szCs w:val="24"/>
                <w:lang w:bidi="ar"/>
              </w:rPr>
              <w:t>汤村村经济联合社</w:t>
            </w:r>
          </w:p>
        </w:tc>
        <w:tc>
          <w:tcPr>
            <w:tcW w:w="960" w:type="dxa"/>
            <w:tcBorders>
              <w:tl2br w:val="nil"/>
              <w:tr2bl w:val="nil"/>
            </w:tcBorders>
            <w:vAlign w:val="center"/>
          </w:tcPr>
          <w:p w14:paraId="609603CF" w14:textId="77777777" w:rsidR="00B7196C" w:rsidRDefault="00000000">
            <w:pPr>
              <w:widowControl/>
              <w:jc w:val="center"/>
              <w:textAlignment w:val="center"/>
              <w:rPr>
                <w:rFonts w:ascii="Times New Roman" w:eastAsia="仿宋_GB2312" w:hAnsi="Times New Roman" w:cs="Times New Roman"/>
                <w:color w:val="000000"/>
                <w:sz w:val="24"/>
                <w:szCs w:val="24"/>
                <w:lang w:bidi="ar"/>
              </w:rPr>
            </w:pPr>
            <w:r>
              <w:rPr>
                <w:rFonts w:ascii="Times New Roman" w:eastAsia="仿宋_GB2312" w:hAnsi="Times New Roman" w:cs="Times New Roman" w:hint="eastAsia"/>
                <w:color w:val="000000"/>
                <w:sz w:val="24"/>
                <w:szCs w:val="24"/>
                <w:lang w:bidi="ar"/>
              </w:rPr>
              <w:t>1.4420</w:t>
            </w:r>
          </w:p>
        </w:tc>
        <w:tc>
          <w:tcPr>
            <w:tcW w:w="1032" w:type="dxa"/>
            <w:tcBorders>
              <w:tl2br w:val="nil"/>
              <w:tr2bl w:val="nil"/>
            </w:tcBorders>
            <w:vAlign w:val="center"/>
          </w:tcPr>
          <w:p w14:paraId="761D0D6A" w14:textId="77777777" w:rsidR="00B7196C" w:rsidRDefault="00000000">
            <w:pPr>
              <w:widowControl/>
              <w:jc w:val="center"/>
              <w:textAlignment w:val="center"/>
              <w:rPr>
                <w:rFonts w:ascii="Times New Roman" w:eastAsia="仿宋_GB2312" w:hAnsi="Times New Roman" w:cs="Times New Roman"/>
                <w:color w:val="000000"/>
                <w:sz w:val="24"/>
                <w:szCs w:val="24"/>
                <w:lang w:bidi="ar"/>
              </w:rPr>
            </w:pPr>
            <w:r>
              <w:rPr>
                <w:rFonts w:ascii="Times New Roman" w:eastAsia="仿宋_GB2312" w:hAnsi="Times New Roman" w:cs="Times New Roman" w:hint="eastAsia"/>
                <w:color w:val="000000"/>
                <w:sz w:val="24"/>
                <w:szCs w:val="24"/>
                <w:lang w:bidi="ar"/>
              </w:rPr>
              <w:t>1.1220</w:t>
            </w:r>
          </w:p>
        </w:tc>
        <w:tc>
          <w:tcPr>
            <w:tcW w:w="888" w:type="dxa"/>
            <w:tcBorders>
              <w:tl2br w:val="nil"/>
              <w:tr2bl w:val="nil"/>
            </w:tcBorders>
            <w:vAlign w:val="center"/>
          </w:tcPr>
          <w:p w14:paraId="539886F4" w14:textId="77777777" w:rsidR="00B7196C" w:rsidRDefault="00000000">
            <w:pPr>
              <w:widowControl/>
              <w:jc w:val="center"/>
              <w:textAlignment w:val="center"/>
              <w:rPr>
                <w:rFonts w:ascii="Times New Roman" w:eastAsia="仿宋_GB2312" w:hAnsi="Times New Roman" w:cs="Times New Roman"/>
                <w:color w:val="000000"/>
                <w:sz w:val="24"/>
                <w:szCs w:val="24"/>
                <w:lang w:bidi="ar"/>
              </w:rPr>
            </w:pPr>
            <w:r>
              <w:rPr>
                <w:rFonts w:ascii="Times New Roman" w:eastAsia="仿宋_GB2312" w:hAnsi="Times New Roman" w:cs="Times New Roman" w:hint="eastAsia"/>
                <w:color w:val="000000"/>
                <w:sz w:val="24"/>
                <w:szCs w:val="24"/>
                <w:lang w:bidi="ar"/>
              </w:rPr>
              <w:t>0.0000</w:t>
            </w:r>
          </w:p>
        </w:tc>
        <w:tc>
          <w:tcPr>
            <w:tcW w:w="1085" w:type="dxa"/>
            <w:tcBorders>
              <w:tl2br w:val="nil"/>
              <w:tr2bl w:val="nil"/>
            </w:tcBorders>
            <w:vAlign w:val="center"/>
          </w:tcPr>
          <w:p w14:paraId="1D7E2AC4" w14:textId="77777777" w:rsidR="00B7196C" w:rsidRDefault="00000000">
            <w:pPr>
              <w:widowControl/>
              <w:jc w:val="center"/>
              <w:textAlignment w:val="center"/>
              <w:rPr>
                <w:rFonts w:ascii="Times New Roman" w:eastAsia="仿宋_GB2312" w:hAnsi="Times New Roman" w:cs="Times New Roman"/>
                <w:color w:val="000000"/>
                <w:sz w:val="24"/>
                <w:szCs w:val="24"/>
                <w:lang w:bidi="ar"/>
              </w:rPr>
            </w:pPr>
            <w:r>
              <w:rPr>
                <w:rFonts w:ascii="Times New Roman" w:eastAsia="仿宋_GB2312" w:hAnsi="Times New Roman" w:cs="Times New Roman" w:hint="eastAsia"/>
                <w:color w:val="000000"/>
                <w:sz w:val="24"/>
                <w:szCs w:val="24"/>
                <w:lang w:bidi="ar"/>
              </w:rPr>
              <w:t>0.3200</w:t>
            </w:r>
          </w:p>
        </w:tc>
        <w:tc>
          <w:tcPr>
            <w:tcW w:w="1144" w:type="dxa"/>
            <w:tcBorders>
              <w:tl2br w:val="nil"/>
              <w:tr2bl w:val="nil"/>
            </w:tcBorders>
            <w:vAlign w:val="center"/>
          </w:tcPr>
          <w:p w14:paraId="0C3B58CE" w14:textId="77777777" w:rsidR="00B7196C" w:rsidRDefault="00000000">
            <w:pPr>
              <w:widowControl/>
              <w:jc w:val="center"/>
              <w:textAlignment w:val="center"/>
              <w:rPr>
                <w:rFonts w:ascii="Times New Roman" w:eastAsia="仿宋_GB2312" w:hAnsi="Times New Roman" w:cs="Times New Roman"/>
                <w:color w:val="000000"/>
                <w:sz w:val="24"/>
                <w:szCs w:val="24"/>
                <w:lang w:bidi="ar"/>
              </w:rPr>
            </w:pPr>
            <w:r>
              <w:rPr>
                <w:rFonts w:ascii="Times New Roman" w:eastAsia="仿宋_GB2312" w:hAnsi="Times New Roman" w:cs="Times New Roman" w:hint="eastAsia"/>
                <w:color w:val="000000"/>
                <w:sz w:val="24"/>
                <w:szCs w:val="24"/>
                <w:lang w:bidi="ar"/>
              </w:rPr>
              <w:t>0.0000</w:t>
            </w:r>
          </w:p>
        </w:tc>
      </w:tr>
      <w:tr w:rsidR="00B7196C" w14:paraId="3884C271" w14:textId="77777777">
        <w:trPr>
          <w:trHeight w:val="754"/>
          <w:jc w:val="center"/>
        </w:trPr>
        <w:tc>
          <w:tcPr>
            <w:tcW w:w="3414" w:type="dxa"/>
            <w:tcBorders>
              <w:top w:val="single" w:sz="8" w:space="0" w:color="auto"/>
              <w:left w:val="single" w:sz="8" w:space="0" w:color="auto"/>
              <w:bottom w:val="single" w:sz="8" w:space="0" w:color="auto"/>
              <w:right w:val="single" w:sz="8" w:space="0" w:color="auto"/>
              <w:tl2br w:val="nil"/>
              <w:tr2bl w:val="nil"/>
            </w:tcBorders>
            <w:vAlign w:val="center"/>
          </w:tcPr>
          <w:p w14:paraId="02E13F7B" w14:textId="77777777" w:rsidR="00B7196C" w:rsidRDefault="00000000">
            <w:pPr>
              <w:widowControl/>
              <w:jc w:val="center"/>
              <w:textAlignment w:val="center"/>
              <w:rPr>
                <w:rFonts w:ascii="Times New Roman" w:eastAsia="仿宋_GB2312" w:hAnsi="Times New Roman" w:cs="Times New Roman"/>
                <w:color w:val="000000"/>
                <w:sz w:val="24"/>
                <w:szCs w:val="24"/>
                <w:lang w:bidi="ar"/>
              </w:rPr>
            </w:pPr>
            <w:r>
              <w:rPr>
                <w:rFonts w:ascii="Times New Roman" w:eastAsia="仿宋_GB2312" w:hAnsi="Times New Roman" w:cs="Times New Roman"/>
                <w:color w:val="000000"/>
                <w:sz w:val="24"/>
                <w:szCs w:val="24"/>
                <w:lang w:bidi="ar"/>
              </w:rPr>
              <w:t>汤村村下一经济合作社</w:t>
            </w:r>
          </w:p>
          <w:p w14:paraId="164D0E27" w14:textId="77777777" w:rsidR="00B7196C" w:rsidRDefault="00000000">
            <w:pPr>
              <w:widowControl/>
              <w:jc w:val="center"/>
              <w:textAlignment w:val="center"/>
              <w:rPr>
                <w:rFonts w:ascii="Times New Roman" w:eastAsia="仿宋_GB2312" w:hAnsi="Times New Roman" w:cs="Times New Roman"/>
                <w:color w:val="000000"/>
                <w:sz w:val="24"/>
                <w:szCs w:val="24"/>
                <w:lang w:bidi="ar"/>
              </w:rPr>
            </w:pPr>
            <w:r>
              <w:rPr>
                <w:rFonts w:ascii="Times New Roman" w:eastAsia="仿宋_GB2312" w:hAnsi="Times New Roman" w:cs="Times New Roman"/>
                <w:color w:val="000000"/>
                <w:sz w:val="24"/>
                <w:szCs w:val="24"/>
                <w:lang w:bidi="ar"/>
              </w:rPr>
              <w:t>汤村村下三经济合作社</w:t>
            </w:r>
          </w:p>
          <w:p w14:paraId="2524B80D" w14:textId="77777777" w:rsidR="00B7196C" w:rsidRDefault="00000000">
            <w:pPr>
              <w:widowControl/>
              <w:jc w:val="center"/>
              <w:textAlignment w:val="center"/>
              <w:rPr>
                <w:rFonts w:ascii="Times New Roman" w:eastAsia="仿宋_GB2312" w:hAnsi="Times New Roman" w:cs="Times New Roman"/>
                <w:color w:val="000000"/>
                <w:sz w:val="24"/>
                <w:szCs w:val="24"/>
                <w:lang w:bidi="ar"/>
              </w:rPr>
            </w:pPr>
            <w:r>
              <w:rPr>
                <w:rFonts w:ascii="Times New Roman" w:eastAsia="仿宋_GB2312" w:hAnsi="Times New Roman" w:cs="Times New Roman"/>
                <w:color w:val="000000"/>
                <w:sz w:val="24"/>
                <w:szCs w:val="24"/>
                <w:lang w:bidi="ar"/>
              </w:rPr>
              <w:t>汤村村下二经济合作社</w:t>
            </w:r>
          </w:p>
          <w:p w14:paraId="0CB598F4" w14:textId="77777777" w:rsidR="00B7196C" w:rsidRDefault="00000000">
            <w:pPr>
              <w:widowControl/>
              <w:jc w:val="center"/>
              <w:textAlignment w:val="center"/>
              <w:rPr>
                <w:rFonts w:ascii="Times New Roman" w:eastAsia="仿宋_GB2312" w:hAnsi="Times New Roman" w:cs="Times New Roman"/>
                <w:color w:val="000000"/>
                <w:sz w:val="24"/>
                <w:szCs w:val="24"/>
                <w:lang w:bidi="ar"/>
              </w:rPr>
            </w:pPr>
            <w:r>
              <w:rPr>
                <w:rFonts w:ascii="Times New Roman" w:eastAsia="仿宋_GB2312" w:hAnsi="Times New Roman" w:cs="Times New Roman" w:hint="eastAsia"/>
                <w:color w:val="000000"/>
                <w:sz w:val="24"/>
                <w:szCs w:val="24"/>
                <w:lang w:bidi="ar"/>
              </w:rPr>
              <w:t>（共有）</w:t>
            </w:r>
          </w:p>
        </w:tc>
        <w:tc>
          <w:tcPr>
            <w:tcW w:w="960" w:type="dxa"/>
            <w:tcBorders>
              <w:top w:val="single" w:sz="8" w:space="0" w:color="auto"/>
              <w:left w:val="single" w:sz="8" w:space="0" w:color="auto"/>
              <w:bottom w:val="single" w:sz="8" w:space="0" w:color="auto"/>
              <w:right w:val="single" w:sz="8" w:space="0" w:color="auto"/>
              <w:tl2br w:val="nil"/>
              <w:tr2bl w:val="nil"/>
            </w:tcBorders>
            <w:vAlign w:val="center"/>
          </w:tcPr>
          <w:p w14:paraId="2DB96E08" w14:textId="77777777" w:rsidR="00B7196C" w:rsidRDefault="00000000">
            <w:pPr>
              <w:widowControl/>
              <w:jc w:val="center"/>
              <w:textAlignment w:val="center"/>
              <w:rPr>
                <w:rFonts w:ascii="Times New Roman" w:eastAsia="仿宋_GB2312" w:hAnsi="Times New Roman" w:cs="Times New Roman"/>
                <w:color w:val="000000"/>
                <w:sz w:val="24"/>
                <w:szCs w:val="24"/>
                <w:lang w:bidi="ar"/>
              </w:rPr>
            </w:pPr>
            <w:r>
              <w:rPr>
                <w:rFonts w:ascii="Times New Roman" w:eastAsia="仿宋_GB2312" w:hAnsi="Times New Roman" w:cs="Times New Roman" w:hint="eastAsia"/>
                <w:color w:val="000000"/>
                <w:sz w:val="24"/>
                <w:szCs w:val="24"/>
                <w:lang w:bidi="ar"/>
              </w:rPr>
              <w:t>1.4757</w:t>
            </w:r>
          </w:p>
        </w:tc>
        <w:tc>
          <w:tcPr>
            <w:tcW w:w="1032" w:type="dxa"/>
            <w:tcBorders>
              <w:top w:val="single" w:sz="8" w:space="0" w:color="auto"/>
              <w:left w:val="single" w:sz="8" w:space="0" w:color="auto"/>
              <w:bottom w:val="single" w:sz="8" w:space="0" w:color="auto"/>
              <w:right w:val="single" w:sz="8" w:space="0" w:color="auto"/>
              <w:tl2br w:val="nil"/>
              <w:tr2bl w:val="nil"/>
            </w:tcBorders>
            <w:vAlign w:val="center"/>
          </w:tcPr>
          <w:p w14:paraId="3DBEF4E2" w14:textId="77777777" w:rsidR="00B7196C" w:rsidRDefault="00000000">
            <w:pPr>
              <w:widowControl/>
              <w:jc w:val="center"/>
              <w:textAlignment w:val="center"/>
              <w:rPr>
                <w:rFonts w:ascii="Times New Roman" w:eastAsia="仿宋_GB2312" w:hAnsi="Times New Roman" w:cs="Times New Roman"/>
                <w:color w:val="000000"/>
                <w:sz w:val="24"/>
                <w:szCs w:val="24"/>
                <w:lang w:bidi="ar"/>
              </w:rPr>
            </w:pPr>
            <w:r>
              <w:rPr>
                <w:rFonts w:ascii="Times New Roman" w:eastAsia="仿宋_GB2312" w:hAnsi="Times New Roman" w:cs="Times New Roman" w:hint="eastAsia"/>
                <w:color w:val="000000"/>
                <w:sz w:val="24"/>
                <w:szCs w:val="24"/>
                <w:lang w:bidi="ar"/>
              </w:rPr>
              <w:t>1.3013</w:t>
            </w:r>
          </w:p>
        </w:tc>
        <w:tc>
          <w:tcPr>
            <w:tcW w:w="888" w:type="dxa"/>
            <w:tcBorders>
              <w:top w:val="single" w:sz="8" w:space="0" w:color="auto"/>
              <w:left w:val="single" w:sz="8" w:space="0" w:color="auto"/>
              <w:bottom w:val="single" w:sz="8" w:space="0" w:color="auto"/>
              <w:right w:val="single" w:sz="8" w:space="0" w:color="auto"/>
              <w:tl2br w:val="nil"/>
              <w:tr2bl w:val="nil"/>
            </w:tcBorders>
            <w:vAlign w:val="center"/>
          </w:tcPr>
          <w:p w14:paraId="61C562FB" w14:textId="77777777" w:rsidR="00B7196C" w:rsidRDefault="00000000">
            <w:pPr>
              <w:widowControl/>
              <w:jc w:val="center"/>
              <w:textAlignment w:val="center"/>
              <w:rPr>
                <w:rFonts w:ascii="Times New Roman" w:eastAsia="仿宋_GB2312" w:hAnsi="Times New Roman" w:cs="Times New Roman"/>
                <w:color w:val="000000"/>
                <w:sz w:val="24"/>
                <w:szCs w:val="24"/>
                <w:lang w:bidi="ar"/>
              </w:rPr>
            </w:pPr>
            <w:r>
              <w:rPr>
                <w:rFonts w:ascii="Times New Roman" w:eastAsia="仿宋_GB2312" w:hAnsi="Times New Roman" w:cs="Times New Roman" w:hint="eastAsia"/>
                <w:color w:val="000000"/>
                <w:sz w:val="24"/>
                <w:szCs w:val="24"/>
                <w:lang w:bidi="ar"/>
              </w:rPr>
              <w:t>0.0000</w:t>
            </w:r>
          </w:p>
        </w:tc>
        <w:tc>
          <w:tcPr>
            <w:tcW w:w="1085" w:type="dxa"/>
            <w:tcBorders>
              <w:top w:val="single" w:sz="8" w:space="0" w:color="auto"/>
              <w:left w:val="single" w:sz="8" w:space="0" w:color="auto"/>
              <w:bottom w:val="single" w:sz="8" w:space="0" w:color="auto"/>
              <w:right w:val="single" w:sz="8" w:space="0" w:color="auto"/>
              <w:tl2br w:val="nil"/>
              <w:tr2bl w:val="nil"/>
            </w:tcBorders>
            <w:vAlign w:val="center"/>
          </w:tcPr>
          <w:p w14:paraId="6C733210" w14:textId="77777777" w:rsidR="00B7196C" w:rsidRDefault="00000000">
            <w:pPr>
              <w:widowControl/>
              <w:jc w:val="center"/>
              <w:textAlignment w:val="center"/>
              <w:rPr>
                <w:rFonts w:ascii="Times New Roman" w:eastAsia="仿宋_GB2312" w:hAnsi="Times New Roman" w:cs="Times New Roman"/>
                <w:color w:val="000000"/>
                <w:sz w:val="24"/>
                <w:szCs w:val="24"/>
                <w:lang w:bidi="ar"/>
              </w:rPr>
            </w:pPr>
            <w:r>
              <w:rPr>
                <w:rFonts w:ascii="Times New Roman" w:eastAsia="仿宋_GB2312" w:hAnsi="Times New Roman" w:cs="Times New Roman" w:hint="eastAsia"/>
                <w:color w:val="000000"/>
                <w:sz w:val="24"/>
                <w:szCs w:val="24"/>
                <w:lang w:bidi="ar"/>
              </w:rPr>
              <w:t>0.1744</w:t>
            </w:r>
          </w:p>
        </w:tc>
        <w:tc>
          <w:tcPr>
            <w:tcW w:w="1144" w:type="dxa"/>
            <w:tcBorders>
              <w:top w:val="single" w:sz="8" w:space="0" w:color="auto"/>
              <w:left w:val="single" w:sz="8" w:space="0" w:color="auto"/>
              <w:bottom w:val="single" w:sz="8" w:space="0" w:color="auto"/>
              <w:right w:val="single" w:sz="8" w:space="0" w:color="auto"/>
              <w:tl2br w:val="nil"/>
              <w:tr2bl w:val="nil"/>
            </w:tcBorders>
            <w:vAlign w:val="center"/>
          </w:tcPr>
          <w:p w14:paraId="1A548BD2" w14:textId="77777777" w:rsidR="00B7196C" w:rsidRDefault="00000000">
            <w:pPr>
              <w:widowControl/>
              <w:jc w:val="center"/>
              <w:textAlignment w:val="center"/>
              <w:rPr>
                <w:rFonts w:ascii="Times New Roman" w:eastAsia="仿宋_GB2312" w:hAnsi="Times New Roman" w:cs="Times New Roman"/>
                <w:color w:val="000000"/>
                <w:sz w:val="24"/>
                <w:szCs w:val="24"/>
                <w:lang w:bidi="ar"/>
              </w:rPr>
            </w:pPr>
            <w:r>
              <w:rPr>
                <w:rFonts w:ascii="Times New Roman" w:eastAsia="仿宋_GB2312" w:hAnsi="Times New Roman" w:cs="Times New Roman" w:hint="eastAsia"/>
                <w:color w:val="000000"/>
                <w:sz w:val="24"/>
                <w:szCs w:val="24"/>
                <w:lang w:bidi="ar"/>
              </w:rPr>
              <w:t>0.0000</w:t>
            </w:r>
          </w:p>
        </w:tc>
      </w:tr>
      <w:tr w:rsidR="00B7196C" w14:paraId="10BDA001" w14:textId="77777777">
        <w:trPr>
          <w:trHeight w:val="754"/>
          <w:jc w:val="center"/>
        </w:trPr>
        <w:tc>
          <w:tcPr>
            <w:tcW w:w="3414" w:type="dxa"/>
            <w:tcBorders>
              <w:top w:val="single" w:sz="8" w:space="0" w:color="auto"/>
              <w:left w:val="single" w:sz="8" w:space="0" w:color="auto"/>
              <w:bottom w:val="single" w:sz="8" w:space="0" w:color="auto"/>
              <w:right w:val="single" w:sz="8" w:space="0" w:color="auto"/>
              <w:tl2br w:val="nil"/>
              <w:tr2bl w:val="nil"/>
            </w:tcBorders>
            <w:vAlign w:val="center"/>
          </w:tcPr>
          <w:p w14:paraId="58244A02" w14:textId="77777777" w:rsidR="00B7196C" w:rsidRDefault="00000000">
            <w:pPr>
              <w:widowControl/>
              <w:jc w:val="center"/>
              <w:textAlignment w:val="center"/>
              <w:rPr>
                <w:rFonts w:ascii="Times New Roman" w:eastAsia="仿宋_GB2312" w:hAnsi="Times New Roman" w:cs="Times New Roman"/>
                <w:color w:val="000000"/>
                <w:sz w:val="24"/>
                <w:szCs w:val="24"/>
                <w:lang w:bidi="ar"/>
              </w:rPr>
            </w:pPr>
            <w:r>
              <w:rPr>
                <w:rFonts w:ascii="Times New Roman" w:eastAsia="仿宋_GB2312" w:hAnsi="Times New Roman" w:cs="Times New Roman"/>
                <w:color w:val="000000"/>
                <w:sz w:val="24"/>
                <w:szCs w:val="24"/>
                <w:lang w:bidi="ar"/>
              </w:rPr>
              <w:t>汤村村上一经济合作社</w:t>
            </w:r>
          </w:p>
          <w:p w14:paraId="03380A38" w14:textId="77777777" w:rsidR="00B7196C" w:rsidRDefault="00000000">
            <w:pPr>
              <w:widowControl/>
              <w:jc w:val="center"/>
              <w:textAlignment w:val="center"/>
              <w:rPr>
                <w:rFonts w:ascii="Times New Roman" w:eastAsia="仿宋_GB2312" w:hAnsi="Times New Roman" w:cs="Times New Roman"/>
                <w:color w:val="000000"/>
                <w:sz w:val="24"/>
                <w:szCs w:val="24"/>
                <w:lang w:bidi="ar"/>
              </w:rPr>
            </w:pPr>
            <w:r>
              <w:rPr>
                <w:rFonts w:ascii="Times New Roman" w:eastAsia="仿宋_GB2312" w:hAnsi="Times New Roman" w:cs="Times New Roman"/>
                <w:color w:val="000000"/>
                <w:sz w:val="24"/>
                <w:szCs w:val="24"/>
                <w:lang w:bidi="ar"/>
              </w:rPr>
              <w:t>汤村村上三经济合作社</w:t>
            </w:r>
          </w:p>
          <w:p w14:paraId="17ECB181" w14:textId="77777777" w:rsidR="00B7196C" w:rsidRDefault="00000000">
            <w:pPr>
              <w:widowControl/>
              <w:jc w:val="center"/>
              <w:textAlignment w:val="center"/>
              <w:rPr>
                <w:rFonts w:ascii="Times New Roman" w:eastAsia="仿宋_GB2312" w:hAnsi="Times New Roman" w:cs="Times New Roman"/>
                <w:color w:val="000000"/>
                <w:sz w:val="24"/>
                <w:szCs w:val="24"/>
                <w:lang w:bidi="ar"/>
              </w:rPr>
            </w:pPr>
            <w:r>
              <w:rPr>
                <w:rFonts w:ascii="Times New Roman" w:eastAsia="仿宋_GB2312" w:hAnsi="Times New Roman" w:cs="Times New Roman"/>
                <w:color w:val="000000"/>
                <w:sz w:val="24"/>
                <w:szCs w:val="24"/>
                <w:lang w:bidi="ar"/>
              </w:rPr>
              <w:t>汤村村上二经济合作社</w:t>
            </w:r>
          </w:p>
          <w:p w14:paraId="6E626D51" w14:textId="77777777" w:rsidR="00B7196C" w:rsidRDefault="00000000">
            <w:pPr>
              <w:widowControl/>
              <w:jc w:val="center"/>
              <w:textAlignment w:val="center"/>
              <w:rPr>
                <w:rFonts w:ascii="Times New Roman" w:eastAsia="仿宋_GB2312" w:hAnsi="Times New Roman" w:cs="Times New Roman"/>
                <w:color w:val="000000"/>
                <w:sz w:val="24"/>
                <w:szCs w:val="24"/>
                <w:lang w:bidi="ar"/>
              </w:rPr>
            </w:pPr>
            <w:r>
              <w:rPr>
                <w:rFonts w:ascii="Times New Roman" w:eastAsia="仿宋_GB2312" w:hAnsi="Times New Roman" w:cs="Times New Roman"/>
                <w:color w:val="000000"/>
                <w:sz w:val="24"/>
                <w:szCs w:val="24"/>
                <w:lang w:bidi="ar"/>
              </w:rPr>
              <w:t>汤村村上四经济合作社</w:t>
            </w:r>
          </w:p>
          <w:p w14:paraId="5108A9E5" w14:textId="77777777" w:rsidR="00B7196C" w:rsidRDefault="00000000">
            <w:pPr>
              <w:widowControl/>
              <w:jc w:val="center"/>
              <w:textAlignment w:val="center"/>
              <w:rPr>
                <w:rFonts w:ascii="Times New Roman" w:eastAsia="仿宋_GB2312" w:hAnsi="Times New Roman" w:cs="Times New Roman"/>
                <w:color w:val="000000"/>
                <w:sz w:val="24"/>
                <w:szCs w:val="24"/>
                <w:lang w:bidi="ar"/>
              </w:rPr>
            </w:pPr>
            <w:r>
              <w:rPr>
                <w:rFonts w:ascii="Times New Roman" w:eastAsia="仿宋_GB2312" w:hAnsi="Times New Roman" w:cs="Times New Roman" w:hint="eastAsia"/>
                <w:color w:val="000000"/>
                <w:sz w:val="24"/>
                <w:szCs w:val="24"/>
                <w:lang w:bidi="ar"/>
              </w:rPr>
              <w:t>（共有）</w:t>
            </w:r>
          </w:p>
        </w:tc>
        <w:tc>
          <w:tcPr>
            <w:tcW w:w="960" w:type="dxa"/>
            <w:tcBorders>
              <w:top w:val="single" w:sz="8" w:space="0" w:color="auto"/>
              <w:left w:val="single" w:sz="8" w:space="0" w:color="auto"/>
              <w:bottom w:val="single" w:sz="8" w:space="0" w:color="auto"/>
              <w:right w:val="single" w:sz="8" w:space="0" w:color="auto"/>
              <w:tl2br w:val="nil"/>
              <w:tr2bl w:val="nil"/>
            </w:tcBorders>
            <w:vAlign w:val="center"/>
          </w:tcPr>
          <w:p w14:paraId="546A9E91" w14:textId="77777777" w:rsidR="00B7196C" w:rsidRDefault="00000000">
            <w:pPr>
              <w:widowControl/>
              <w:jc w:val="center"/>
              <w:textAlignment w:val="center"/>
              <w:rPr>
                <w:rFonts w:ascii="Times New Roman" w:eastAsia="仿宋_GB2312" w:hAnsi="Times New Roman" w:cs="Times New Roman"/>
                <w:color w:val="000000"/>
                <w:sz w:val="24"/>
                <w:szCs w:val="24"/>
                <w:lang w:bidi="ar"/>
              </w:rPr>
            </w:pPr>
            <w:r>
              <w:rPr>
                <w:rFonts w:ascii="Times New Roman" w:eastAsia="仿宋_GB2312" w:hAnsi="Times New Roman" w:cs="Times New Roman" w:hint="eastAsia"/>
                <w:color w:val="000000"/>
                <w:sz w:val="24"/>
                <w:szCs w:val="24"/>
                <w:lang w:bidi="ar"/>
              </w:rPr>
              <w:t>4.6831</w:t>
            </w:r>
          </w:p>
        </w:tc>
        <w:tc>
          <w:tcPr>
            <w:tcW w:w="1032" w:type="dxa"/>
            <w:tcBorders>
              <w:top w:val="single" w:sz="8" w:space="0" w:color="auto"/>
              <w:left w:val="single" w:sz="8" w:space="0" w:color="auto"/>
              <w:bottom w:val="single" w:sz="8" w:space="0" w:color="auto"/>
              <w:right w:val="single" w:sz="8" w:space="0" w:color="auto"/>
              <w:tl2br w:val="nil"/>
              <w:tr2bl w:val="nil"/>
            </w:tcBorders>
            <w:vAlign w:val="center"/>
          </w:tcPr>
          <w:p w14:paraId="1951FB7E" w14:textId="77777777" w:rsidR="00B7196C" w:rsidRDefault="00000000">
            <w:pPr>
              <w:widowControl/>
              <w:jc w:val="center"/>
              <w:textAlignment w:val="center"/>
              <w:rPr>
                <w:rFonts w:ascii="Times New Roman" w:eastAsia="仿宋_GB2312" w:hAnsi="Times New Roman" w:cs="Times New Roman"/>
                <w:color w:val="000000"/>
                <w:sz w:val="24"/>
                <w:szCs w:val="24"/>
                <w:lang w:bidi="ar"/>
              </w:rPr>
            </w:pPr>
            <w:r>
              <w:rPr>
                <w:rFonts w:ascii="Times New Roman" w:eastAsia="仿宋_GB2312" w:hAnsi="Times New Roman" w:cs="Times New Roman" w:hint="eastAsia"/>
                <w:color w:val="000000"/>
                <w:sz w:val="24"/>
                <w:szCs w:val="24"/>
                <w:lang w:bidi="ar"/>
              </w:rPr>
              <w:t>3.5034</w:t>
            </w:r>
          </w:p>
        </w:tc>
        <w:tc>
          <w:tcPr>
            <w:tcW w:w="888" w:type="dxa"/>
            <w:tcBorders>
              <w:top w:val="single" w:sz="8" w:space="0" w:color="auto"/>
              <w:left w:val="single" w:sz="8" w:space="0" w:color="auto"/>
              <w:bottom w:val="single" w:sz="8" w:space="0" w:color="auto"/>
              <w:right w:val="single" w:sz="8" w:space="0" w:color="auto"/>
              <w:tl2br w:val="nil"/>
              <w:tr2bl w:val="nil"/>
            </w:tcBorders>
            <w:vAlign w:val="center"/>
          </w:tcPr>
          <w:p w14:paraId="7929C9F1" w14:textId="77777777" w:rsidR="00B7196C" w:rsidRDefault="00000000">
            <w:pPr>
              <w:widowControl/>
              <w:jc w:val="center"/>
              <w:textAlignment w:val="center"/>
              <w:rPr>
                <w:rFonts w:ascii="Times New Roman" w:eastAsia="仿宋_GB2312" w:hAnsi="Times New Roman" w:cs="Times New Roman"/>
                <w:color w:val="000000"/>
                <w:sz w:val="24"/>
                <w:szCs w:val="24"/>
                <w:lang w:bidi="ar"/>
              </w:rPr>
            </w:pPr>
            <w:r>
              <w:rPr>
                <w:rFonts w:ascii="Times New Roman" w:eastAsia="仿宋_GB2312" w:hAnsi="Times New Roman" w:cs="Times New Roman" w:hint="eastAsia"/>
                <w:color w:val="000000"/>
                <w:sz w:val="24"/>
                <w:szCs w:val="24"/>
                <w:lang w:bidi="ar"/>
              </w:rPr>
              <w:t>0.8543</w:t>
            </w:r>
          </w:p>
        </w:tc>
        <w:tc>
          <w:tcPr>
            <w:tcW w:w="1085" w:type="dxa"/>
            <w:tcBorders>
              <w:top w:val="single" w:sz="8" w:space="0" w:color="auto"/>
              <w:left w:val="single" w:sz="8" w:space="0" w:color="auto"/>
              <w:bottom w:val="single" w:sz="8" w:space="0" w:color="auto"/>
              <w:right w:val="single" w:sz="8" w:space="0" w:color="auto"/>
              <w:tl2br w:val="nil"/>
              <w:tr2bl w:val="nil"/>
            </w:tcBorders>
            <w:vAlign w:val="center"/>
          </w:tcPr>
          <w:p w14:paraId="53351318" w14:textId="77777777" w:rsidR="00B7196C" w:rsidRDefault="00000000">
            <w:pPr>
              <w:widowControl/>
              <w:jc w:val="center"/>
              <w:textAlignment w:val="center"/>
              <w:rPr>
                <w:rFonts w:ascii="Times New Roman" w:eastAsia="仿宋_GB2312" w:hAnsi="Times New Roman" w:cs="Times New Roman"/>
                <w:color w:val="000000"/>
                <w:sz w:val="24"/>
                <w:szCs w:val="24"/>
                <w:lang w:bidi="ar"/>
              </w:rPr>
            </w:pPr>
            <w:r>
              <w:rPr>
                <w:rFonts w:ascii="Times New Roman" w:eastAsia="仿宋_GB2312" w:hAnsi="Times New Roman" w:cs="Times New Roman" w:hint="eastAsia"/>
                <w:color w:val="000000"/>
                <w:sz w:val="24"/>
                <w:szCs w:val="24"/>
                <w:lang w:bidi="ar"/>
              </w:rPr>
              <w:t>1.1797</w:t>
            </w:r>
          </w:p>
        </w:tc>
        <w:tc>
          <w:tcPr>
            <w:tcW w:w="1144" w:type="dxa"/>
            <w:tcBorders>
              <w:top w:val="single" w:sz="8" w:space="0" w:color="auto"/>
              <w:left w:val="single" w:sz="8" w:space="0" w:color="auto"/>
              <w:bottom w:val="single" w:sz="8" w:space="0" w:color="auto"/>
              <w:right w:val="single" w:sz="8" w:space="0" w:color="auto"/>
              <w:tl2br w:val="nil"/>
              <w:tr2bl w:val="nil"/>
            </w:tcBorders>
            <w:vAlign w:val="center"/>
          </w:tcPr>
          <w:p w14:paraId="362A52F7" w14:textId="77777777" w:rsidR="00B7196C" w:rsidRDefault="00000000">
            <w:pPr>
              <w:widowControl/>
              <w:jc w:val="center"/>
              <w:textAlignment w:val="center"/>
              <w:rPr>
                <w:rFonts w:ascii="Times New Roman" w:eastAsia="仿宋_GB2312" w:hAnsi="Times New Roman" w:cs="Times New Roman"/>
                <w:color w:val="000000"/>
                <w:sz w:val="24"/>
                <w:szCs w:val="24"/>
                <w:lang w:bidi="ar"/>
              </w:rPr>
            </w:pPr>
            <w:r>
              <w:rPr>
                <w:rFonts w:ascii="Times New Roman" w:eastAsia="仿宋_GB2312" w:hAnsi="Times New Roman" w:cs="Times New Roman" w:hint="eastAsia"/>
                <w:color w:val="000000"/>
                <w:sz w:val="24"/>
                <w:szCs w:val="24"/>
                <w:lang w:bidi="ar"/>
              </w:rPr>
              <w:t>0.0000</w:t>
            </w:r>
          </w:p>
        </w:tc>
      </w:tr>
      <w:tr w:rsidR="00B7196C" w14:paraId="2A9294EF" w14:textId="77777777">
        <w:trPr>
          <w:trHeight w:val="624"/>
          <w:jc w:val="center"/>
        </w:trPr>
        <w:tc>
          <w:tcPr>
            <w:tcW w:w="3414" w:type="dxa"/>
            <w:tcBorders>
              <w:top w:val="single" w:sz="8" w:space="0" w:color="auto"/>
              <w:left w:val="single" w:sz="8" w:space="0" w:color="auto"/>
              <w:bottom w:val="single" w:sz="8" w:space="0" w:color="auto"/>
              <w:right w:val="single" w:sz="8" w:space="0" w:color="auto"/>
              <w:tl2br w:val="nil"/>
              <w:tr2bl w:val="nil"/>
            </w:tcBorders>
            <w:vAlign w:val="center"/>
          </w:tcPr>
          <w:p w14:paraId="55B00AC6" w14:textId="77777777" w:rsidR="00B7196C" w:rsidRDefault="00000000">
            <w:pPr>
              <w:widowControl/>
              <w:jc w:val="center"/>
              <w:textAlignment w:val="center"/>
              <w:rPr>
                <w:rFonts w:ascii="Times New Roman" w:eastAsia="仿宋_GB2312" w:hAnsi="Times New Roman" w:cs="Times New Roman"/>
                <w:b/>
                <w:bCs/>
                <w:color w:val="000000"/>
                <w:sz w:val="24"/>
                <w:szCs w:val="24"/>
                <w:lang w:bidi="ar"/>
              </w:rPr>
            </w:pPr>
            <w:r>
              <w:rPr>
                <w:rFonts w:ascii="Times New Roman" w:eastAsia="仿宋_GB2312" w:hAnsi="Times New Roman" w:cs="Times New Roman"/>
                <w:b/>
                <w:bCs/>
                <w:color w:val="000000"/>
                <w:sz w:val="24"/>
                <w:szCs w:val="24"/>
                <w:lang w:bidi="ar"/>
              </w:rPr>
              <w:t>合计</w:t>
            </w:r>
          </w:p>
        </w:tc>
        <w:tc>
          <w:tcPr>
            <w:tcW w:w="960" w:type="dxa"/>
            <w:tcBorders>
              <w:top w:val="single" w:sz="8" w:space="0" w:color="auto"/>
              <w:left w:val="single" w:sz="8" w:space="0" w:color="auto"/>
              <w:bottom w:val="single" w:sz="8" w:space="0" w:color="auto"/>
              <w:right w:val="single" w:sz="8" w:space="0" w:color="auto"/>
              <w:tl2br w:val="nil"/>
              <w:tr2bl w:val="nil"/>
            </w:tcBorders>
            <w:vAlign w:val="center"/>
          </w:tcPr>
          <w:p w14:paraId="5D9A218C" w14:textId="77777777" w:rsidR="00B7196C" w:rsidRDefault="00000000">
            <w:pPr>
              <w:widowControl/>
              <w:jc w:val="center"/>
              <w:textAlignment w:val="center"/>
              <w:rPr>
                <w:rFonts w:ascii="Times New Roman" w:eastAsia="仿宋_GB2312" w:hAnsi="Times New Roman" w:cs="Times New Roman"/>
                <w:b/>
                <w:bCs/>
                <w:color w:val="000000"/>
                <w:sz w:val="24"/>
                <w:szCs w:val="24"/>
                <w:lang w:bidi="ar"/>
              </w:rPr>
            </w:pPr>
            <w:r>
              <w:rPr>
                <w:rFonts w:ascii="Times New Roman" w:eastAsia="仿宋_GB2312" w:hAnsi="Times New Roman" w:cs="Times New Roman" w:hint="eastAsia"/>
                <w:b/>
                <w:bCs/>
                <w:color w:val="000000"/>
                <w:sz w:val="24"/>
                <w:szCs w:val="24"/>
                <w:lang w:bidi="ar"/>
              </w:rPr>
              <w:t>7.6008</w:t>
            </w:r>
          </w:p>
        </w:tc>
        <w:tc>
          <w:tcPr>
            <w:tcW w:w="1032" w:type="dxa"/>
            <w:tcBorders>
              <w:top w:val="single" w:sz="8" w:space="0" w:color="auto"/>
              <w:left w:val="single" w:sz="8" w:space="0" w:color="auto"/>
              <w:bottom w:val="single" w:sz="8" w:space="0" w:color="auto"/>
              <w:right w:val="single" w:sz="8" w:space="0" w:color="auto"/>
              <w:tl2br w:val="nil"/>
              <w:tr2bl w:val="nil"/>
            </w:tcBorders>
            <w:vAlign w:val="center"/>
          </w:tcPr>
          <w:p w14:paraId="7D05ECF8" w14:textId="77777777" w:rsidR="00B7196C" w:rsidRDefault="00000000">
            <w:pPr>
              <w:widowControl/>
              <w:jc w:val="center"/>
              <w:textAlignment w:val="center"/>
              <w:rPr>
                <w:rFonts w:ascii="Times New Roman" w:eastAsia="仿宋_GB2312" w:hAnsi="Times New Roman" w:cs="Times New Roman"/>
                <w:b/>
                <w:bCs/>
                <w:color w:val="000000"/>
                <w:sz w:val="24"/>
                <w:szCs w:val="24"/>
                <w:lang w:bidi="ar"/>
              </w:rPr>
            </w:pPr>
            <w:r>
              <w:rPr>
                <w:rFonts w:ascii="Times New Roman" w:eastAsia="仿宋_GB2312" w:hAnsi="Times New Roman" w:cs="Times New Roman" w:hint="eastAsia"/>
                <w:b/>
                <w:bCs/>
                <w:color w:val="000000"/>
                <w:sz w:val="24"/>
                <w:szCs w:val="24"/>
                <w:lang w:bidi="ar"/>
              </w:rPr>
              <w:t>5.9267</w:t>
            </w:r>
          </w:p>
        </w:tc>
        <w:tc>
          <w:tcPr>
            <w:tcW w:w="888" w:type="dxa"/>
            <w:tcBorders>
              <w:top w:val="single" w:sz="8" w:space="0" w:color="auto"/>
              <w:left w:val="single" w:sz="8" w:space="0" w:color="auto"/>
              <w:bottom w:val="single" w:sz="8" w:space="0" w:color="auto"/>
              <w:right w:val="single" w:sz="8" w:space="0" w:color="auto"/>
              <w:tl2br w:val="nil"/>
              <w:tr2bl w:val="nil"/>
            </w:tcBorders>
            <w:vAlign w:val="center"/>
          </w:tcPr>
          <w:p w14:paraId="6760E29F" w14:textId="77777777" w:rsidR="00B7196C" w:rsidRDefault="00000000">
            <w:pPr>
              <w:widowControl/>
              <w:jc w:val="center"/>
              <w:textAlignment w:val="center"/>
              <w:rPr>
                <w:rFonts w:ascii="Times New Roman" w:eastAsia="仿宋_GB2312" w:hAnsi="Times New Roman" w:cs="Times New Roman"/>
                <w:b/>
                <w:bCs/>
                <w:color w:val="000000"/>
                <w:sz w:val="24"/>
                <w:szCs w:val="24"/>
                <w:lang w:bidi="ar"/>
              </w:rPr>
            </w:pPr>
            <w:r>
              <w:rPr>
                <w:rFonts w:ascii="Times New Roman" w:eastAsia="仿宋_GB2312" w:hAnsi="Times New Roman" w:cs="Times New Roman" w:hint="eastAsia"/>
                <w:b/>
                <w:bCs/>
                <w:color w:val="000000"/>
                <w:sz w:val="24"/>
                <w:szCs w:val="24"/>
                <w:lang w:bidi="ar"/>
              </w:rPr>
              <w:t>0.8543</w:t>
            </w:r>
          </w:p>
        </w:tc>
        <w:tc>
          <w:tcPr>
            <w:tcW w:w="1085" w:type="dxa"/>
            <w:tcBorders>
              <w:top w:val="single" w:sz="8" w:space="0" w:color="auto"/>
              <w:left w:val="single" w:sz="8" w:space="0" w:color="auto"/>
              <w:bottom w:val="single" w:sz="8" w:space="0" w:color="auto"/>
              <w:right w:val="single" w:sz="8" w:space="0" w:color="auto"/>
              <w:tl2br w:val="nil"/>
              <w:tr2bl w:val="nil"/>
            </w:tcBorders>
            <w:vAlign w:val="center"/>
          </w:tcPr>
          <w:p w14:paraId="0AE2E9C6" w14:textId="77777777" w:rsidR="00B7196C" w:rsidRDefault="00000000">
            <w:pPr>
              <w:widowControl/>
              <w:jc w:val="center"/>
              <w:textAlignment w:val="center"/>
              <w:rPr>
                <w:rFonts w:ascii="Times New Roman" w:eastAsia="仿宋_GB2312" w:hAnsi="Times New Roman" w:cs="Times New Roman"/>
                <w:b/>
                <w:bCs/>
                <w:color w:val="000000"/>
                <w:sz w:val="24"/>
                <w:szCs w:val="24"/>
                <w:lang w:bidi="ar"/>
              </w:rPr>
            </w:pPr>
            <w:r>
              <w:rPr>
                <w:rFonts w:ascii="Times New Roman" w:eastAsia="仿宋_GB2312" w:hAnsi="Times New Roman" w:cs="Times New Roman" w:hint="eastAsia"/>
                <w:b/>
                <w:bCs/>
                <w:color w:val="000000"/>
                <w:sz w:val="24"/>
                <w:szCs w:val="24"/>
                <w:lang w:bidi="ar"/>
              </w:rPr>
              <w:t>1.6741</w:t>
            </w:r>
          </w:p>
        </w:tc>
        <w:tc>
          <w:tcPr>
            <w:tcW w:w="1144" w:type="dxa"/>
            <w:tcBorders>
              <w:top w:val="single" w:sz="8" w:space="0" w:color="auto"/>
              <w:left w:val="single" w:sz="8" w:space="0" w:color="auto"/>
              <w:bottom w:val="single" w:sz="8" w:space="0" w:color="auto"/>
              <w:right w:val="single" w:sz="8" w:space="0" w:color="auto"/>
              <w:tl2br w:val="nil"/>
              <w:tr2bl w:val="nil"/>
            </w:tcBorders>
            <w:vAlign w:val="center"/>
          </w:tcPr>
          <w:p w14:paraId="3E2EF5A5" w14:textId="77777777" w:rsidR="00B7196C" w:rsidRDefault="00000000">
            <w:pPr>
              <w:widowControl/>
              <w:jc w:val="center"/>
              <w:textAlignment w:val="center"/>
              <w:rPr>
                <w:rFonts w:ascii="Times New Roman" w:eastAsia="仿宋_GB2312" w:hAnsi="Times New Roman" w:cs="Times New Roman"/>
                <w:b/>
                <w:bCs/>
                <w:color w:val="000000"/>
                <w:sz w:val="24"/>
                <w:szCs w:val="24"/>
                <w:lang w:bidi="ar"/>
              </w:rPr>
            </w:pPr>
            <w:r>
              <w:rPr>
                <w:rFonts w:ascii="Times New Roman" w:eastAsia="仿宋_GB2312" w:hAnsi="Times New Roman" w:cs="Times New Roman" w:hint="eastAsia"/>
                <w:b/>
                <w:bCs/>
                <w:color w:val="000000"/>
                <w:sz w:val="24"/>
                <w:szCs w:val="24"/>
                <w:lang w:bidi="ar"/>
              </w:rPr>
              <w:t>0.0000</w:t>
            </w:r>
          </w:p>
        </w:tc>
      </w:tr>
    </w:tbl>
    <w:p w14:paraId="54684E12" w14:textId="77777777" w:rsidR="00B7196C" w:rsidRDefault="00000000">
      <w:pPr>
        <w:numPr>
          <w:ilvl w:val="0"/>
          <w:numId w:val="1"/>
        </w:numPr>
        <w:autoSpaceDE/>
        <w:autoSpaceDN/>
        <w:spacing w:line="600" w:lineRule="exact"/>
        <w:ind w:firstLineChars="200" w:firstLine="640"/>
        <w:rPr>
          <w:rFonts w:ascii="黑体" w:eastAsia="黑体" w:hAnsi="黑体" w:cs="黑体"/>
          <w:color w:val="000000"/>
          <w:sz w:val="32"/>
          <w:szCs w:val="32"/>
          <w:lang w:bidi="ar"/>
        </w:rPr>
      </w:pPr>
      <w:r>
        <w:rPr>
          <w:rFonts w:ascii="黑体" w:eastAsia="黑体" w:hAnsi="黑体" w:cs="黑体" w:hint="eastAsia"/>
          <w:color w:val="000000"/>
          <w:sz w:val="32"/>
          <w:szCs w:val="32"/>
          <w:lang w:bidi="ar"/>
        </w:rPr>
        <w:t>征地方式和标准</w:t>
      </w:r>
    </w:p>
    <w:p w14:paraId="4087D9B0" w14:textId="77777777" w:rsidR="00B7196C" w:rsidRDefault="00000000">
      <w:pPr>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（一）土地补偿费和安置补助费标准</w:t>
      </w:r>
    </w:p>
    <w:p w14:paraId="36B703EA" w14:textId="77777777" w:rsidR="00B7196C" w:rsidRDefault="00000000">
      <w:pPr>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根据《广东省自然资源厅关于广州市征收农用地区片综合地价成果的批复》（粤自然资函〔</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w:t>
      </w:r>
      <w:r>
        <w:rPr>
          <w:rFonts w:ascii="Times New Roman" w:eastAsia="仿宋_GB2312" w:hAnsi="Times New Roman" w:cs="Times New Roman"/>
          <w:sz w:val="32"/>
          <w:szCs w:val="32"/>
        </w:rPr>
        <w:t>196</w:t>
      </w:r>
      <w:r>
        <w:rPr>
          <w:rFonts w:ascii="Times New Roman" w:eastAsia="仿宋_GB2312" w:hAnsi="Times New Roman" w:cs="Times New Roman"/>
          <w:sz w:val="32"/>
          <w:szCs w:val="32"/>
        </w:rPr>
        <w:t>号）的规定</w:t>
      </w:r>
      <w:r>
        <w:rPr>
          <w:rFonts w:ascii="Times New Roman" w:eastAsia="仿宋_GB2312" w:hAnsi="Times New Roman" w:cs="Times New Roman" w:hint="eastAsia"/>
          <w:sz w:val="32"/>
          <w:szCs w:val="32"/>
        </w:rPr>
        <w:t>，土地补偿标准为</w:t>
      </w:r>
      <w:r>
        <w:rPr>
          <w:rFonts w:ascii="Times New Roman" w:eastAsia="仿宋_GB2312" w:hAnsi="Times New Roman" w:cs="Times New Roman" w:hint="eastAsia"/>
          <w:sz w:val="32"/>
          <w:szCs w:val="32"/>
        </w:rPr>
        <w:t>70.2</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公顷，安置补助标准为</w:t>
      </w:r>
      <w:r>
        <w:rPr>
          <w:rFonts w:ascii="Times New Roman" w:eastAsia="仿宋_GB2312" w:hAnsi="Times New Roman" w:cs="Times New Roman" w:hint="eastAsia"/>
          <w:sz w:val="32"/>
          <w:szCs w:val="32"/>
        </w:rPr>
        <w:t>124.8</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公顷</w:t>
      </w:r>
      <w:r>
        <w:rPr>
          <w:rFonts w:ascii="Times New Roman" w:eastAsia="仿宋_GB2312" w:hAnsi="Times New Roman" w:cs="Times New Roman"/>
          <w:sz w:val="32"/>
          <w:szCs w:val="32"/>
        </w:rPr>
        <w:t>。</w:t>
      </w:r>
    </w:p>
    <w:p w14:paraId="261DECB8" w14:textId="77777777" w:rsidR="00B7196C" w:rsidRDefault="00000000">
      <w:pPr>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（二）农村村民住宅补偿</w:t>
      </w:r>
    </w:p>
    <w:p w14:paraId="650F17F9" w14:textId="77777777" w:rsidR="00B7196C" w:rsidRDefault="00000000">
      <w:pPr>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征地范围内的农村村民住宅按黄埔区政府有关规定进行补偿。</w:t>
      </w:r>
    </w:p>
    <w:p w14:paraId="0F179017" w14:textId="77777777" w:rsidR="00B7196C" w:rsidRDefault="00000000">
      <w:pPr>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（三）青苗及其他地上附着物补偿</w:t>
      </w:r>
    </w:p>
    <w:p w14:paraId="15FF73A9" w14:textId="77777777" w:rsidR="00B7196C" w:rsidRDefault="00000000">
      <w:pPr>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征地范围内的青苗补偿费和附着物补偿费按黄埔区政府有关规定进行补偿。</w:t>
      </w:r>
    </w:p>
    <w:p w14:paraId="0404E1CE" w14:textId="77777777" w:rsidR="00B7196C" w:rsidRDefault="00000000">
      <w:pPr>
        <w:numPr>
          <w:ilvl w:val="0"/>
          <w:numId w:val="1"/>
        </w:numPr>
        <w:autoSpaceDE/>
        <w:autoSpaceDN/>
        <w:spacing w:line="600" w:lineRule="exact"/>
        <w:ind w:firstLineChars="200" w:firstLine="640"/>
        <w:rPr>
          <w:rFonts w:ascii="黑体" w:eastAsia="黑体" w:hAnsi="黑体" w:cs="黑体"/>
          <w:color w:val="000000"/>
          <w:sz w:val="32"/>
          <w:szCs w:val="32"/>
          <w:lang w:bidi="ar"/>
        </w:rPr>
      </w:pPr>
      <w:r>
        <w:rPr>
          <w:rFonts w:ascii="黑体" w:eastAsia="黑体" w:hAnsi="黑体" w:cs="黑体" w:hint="eastAsia"/>
          <w:color w:val="000000"/>
          <w:sz w:val="32"/>
          <w:szCs w:val="32"/>
          <w:lang w:bidi="ar"/>
        </w:rPr>
        <w:lastRenderedPageBreak/>
        <w:t>安置对象</w:t>
      </w:r>
    </w:p>
    <w:p w14:paraId="4A575348" w14:textId="77777777" w:rsidR="00B7196C" w:rsidRDefault="00000000">
      <w:pPr>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享有农村集体土地承包权的农户，家庭承包的土地被政府依法统一征收的，其征地安置补偿方案制定时属于农村集体经济组织成员且年满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周岁以上的家庭成员，纳入征地社保费补贴对象范围。农村集体经济组织另有规定的，可从其规定。不满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周岁的安置人员不作为被征地农民参加城乡社会保障。安置补助费由区人民政府按规定支付给土地所有权人，由农村财务管理部门按照省、市农村集体资产管理相关规定管理和使用。</w:t>
      </w:r>
    </w:p>
    <w:p w14:paraId="1322DAE2" w14:textId="77777777" w:rsidR="00B7196C" w:rsidRDefault="00000000">
      <w:pPr>
        <w:numPr>
          <w:ilvl w:val="0"/>
          <w:numId w:val="1"/>
        </w:numPr>
        <w:autoSpaceDE/>
        <w:autoSpaceDN/>
        <w:spacing w:line="600" w:lineRule="exact"/>
        <w:ind w:firstLineChars="200" w:firstLine="640"/>
        <w:rPr>
          <w:rFonts w:ascii="黑体" w:eastAsia="黑体" w:hAnsi="黑体" w:cs="黑体"/>
          <w:color w:val="000000"/>
          <w:sz w:val="32"/>
          <w:szCs w:val="32"/>
          <w:lang w:bidi="ar"/>
        </w:rPr>
      </w:pPr>
      <w:r>
        <w:rPr>
          <w:rFonts w:ascii="黑体" w:eastAsia="黑体" w:hAnsi="黑体" w:cs="黑体" w:hint="eastAsia"/>
          <w:color w:val="000000"/>
          <w:sz w:val="32"/>
          <w:szCs w:val="32"/>
          <w:lang w:bidi="ar"/>
        </w:rPr>
        <w:t>安置方式和社会保障</w:t>
      </w:r>
    </w:p>
    <w:p w14:paraId="3B33CEE4" w14:textId="77777777" w:rsidR="00B7196C" w:rsidRDefault="00000000">
      <w:pPr>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（一）货币安置。该批次用地为村经济发展留用地，未发生实际的征地补偿费用。</w:t>
      </w:r>
    </w:p>
    <w:p w14:paraId="4D94E2E9" w14:textId="77777777" w:rsidR="00B7196C" w:rsidRDefault="00000000">
      <w:pPr>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二）留用地安置。该批次为广州市黄埔区龙湖街汤村村留用地项目，使用留用地指标办理农用地转用和征收手续，按照《广东省人民政府办公厅关于加强征收农村集体土地留用地安置管理工作的意见》（粤府办〔</w:t>
      </w:r>
      <w:r>
        <w:rPr>
          <w:rFonts w:ascii="Times New Roman" w:eastAsia="仿宋_GB2312" w:hAnsi="Times New Roman" w:cs="Times New Roman"/>
          <w:sz w:val="32"/>
          <w:szCs w:val="32"/>
        </w:rPr>
        <w:t>2016</w:t>
      </w:r>
      <w:r>
        <w:rPr>
          <w:rFonts w:ascii="Times New Roman" w:eastAsia="仿宋_GB2312" w:hAnsi="Times New Roman" w:cs="Times New Roman"/>
          <w:sz w:val="32"/>
          <w:szCs w:val="32"/>
        </w:rPr>
        <w:t>〕</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号）的相关规定，不需再安排留用地。</w:t>
      </w:r>
    </w:p>
    <w:p w14:paraId="63D1D591" w14:textId="77777777" w:rsidR="00B7196C" w:rsidRDefault="00000000">
      <w:pPr>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（三）社会保障费用。根据《广东省人民政府办公厅转发省人力资源社会保障厅关于进一步完善我省被征地农民养老保障政策意见的通知》（粤府办〔</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w:t>
      </w:r>
      <w:r>
        <w:rPr>
          <w:rFonts w:ascii="Times New Roman" w:eastAsia="仿宋_GB2312" w:hAnsi="Times New Roman" w:cs="Times New Roman"/>
          <w:sz w:val="32"/>
          <w:szCs w:val="32"/>
        </w:rPr>
        <w:t>22</w:t>
      </w:r>
      <w:r>
        <w:rPr>
          <w:rFonts w:ascii="Times New Roman" w:eastAsia="仿宋_GB2312" w:hAnsi="Times New Roman" w:cs="Times New Roman"/>
          <w:sz w:val="32"/>
          <w:szCs w:val="32"/>
        </w:rPr>
        <w:t>号）规定，该项目不需计提社保资金。</w:t>
      </w:r>
    </w:p>
    <w:tbl>
      <w:tblPr>
        <w:tblpPr w:leftFromText="180" w:rightFromText="180" w:vertAnchor="text" w:horzAnchor="page" w:tblpX="1155" w:tblpY="1081"/>
        <w:tblOverlap w:val="never"/>
        <w:tblW w:w="9781" w:type="dxa"/>
        <w:tblLook w:val="04A0" w:firstRow="1" w:lastRow="0" w:firstColumn="1" w:lastColumn="0" w:noHBand="0" w:noVBand="1"/>
      </w:tblPr>
      <w:tblGrid>
        <w:gridCol w:w="4536"/>
        <w:gridCol w:w="5245"/>
      </w:tblGrid>
      <w:tr w:rsidR="00B7196C" w14:paraId="27EAB906" w14:textId="77777777">
        <w:trPr>
          <w:trHeight w:val="936"/>
        </w:trPr>
        <w:tc>
          <w:tcPr>
            <w:tcW w:w="4536" w:type="dxa"/>
          </w:tcPr>
          <w:p w14:paraId="03FAFC1D" w14:textId="77777777" w:rsidR="00B7196C" w:rsidRDefault="00000000">
            <w:pPr>
              <w:autoSpaceDE/>
              <w:autoSpaceDN/>
              <w:spacing w:line="600" w:lineRule="exact"/>
            </w:pPr>
            <w:r>
              <w:rPr>
                <w:rFonts w:eastAsia="仿宋_GB2312" w:hint="eastAsia"/>
                <w:sz w:val="32"/>
                <w:szCs w:val="32"/>
              </w:rPr>
              <w:t>广州开发区规划和自然资源局</w:t>
            </w:r>
          </w:p>
        </w:tc>
        <w:tc>
          <w:tcPr>
            <w:tcW w:w="5245" w:type="dxa"/>
          </w:tcPr>
          <w:p w14:paraId="4EA68F3E" w14:textId="77777777" w:rsidR="00B7196C" w:rsidRDefault="00000000">
            <w:pPr>
              <w:tabs>
                <w:tab w:val="left" w:pos="4826"/>
              </w:tabs>
              <w:autoSpaceDE/>
              <w:autoSpaceDN/>
              <w:spacing w:line="600" w:lineRule="exact"/>
              <w:ind w:right="-654"/>
              <w:rPr>
                <w:rFonts w:eastAsia="仿宋_GB2312"/>
                <w:sz w:val="32"/>
                <w:szCs w:val="32"/>
              </w:rPr>
            </w:pPr>
            <w:r>
              <w:rPr>
                <w:rFonts w:eastAsia="仿宋_GB2312" w:hint="eastAsia"/>
                <w:sz w:val="32"/>
                <w:szCs w:val="32"/>
              </w:rPr>
              <w:t>广州市规划和自然资源局黄埔区分局</w:t>
            </w:r>
          </w:p>
          <w:p w14:paraId="66D22BE4" w14:textId="391D7FE7" w:rsidR="00B7196C" w:rsidRDefault="00000000">
            <w:pPr>
              <w:tabs>
                <w:tab w:val="left" w:pos="4712"/>
              </w:tabs>
              <w:autoSpaceDE/>
              <w:autoSpaceDN/>
              <w:spacing w:line="600" w:lineRule="exact"/>
              <w:ind w:right="-108"/>
              <w:jc w:val="center"/>
            </w:pPr>
            <w:r>
              <w:rPr>
                <w:rFonts w:ascii="Times New Roman" w:eastAsia="仿宋_GB2312" w:hAnsi="Times New Roman" w:cs="Times New Roman"/>
                <w:sz w:val="32"/>
                <w:szCs w:val="32"/>
                <w:shd w:val="clear" w:color="auto" w:fill="FFFFFF"/>
              </w:rPr>
              <w:t>20</w:t>
            </w:r>
            <w:r>
              <w:rPr>
                <w:rFonts w:ascii="Times New Roman" w:eastAsia="仿宋_GB2312" w:hAnsi="Times New Roman" w:cs="Times New Roman" w:hint="eastAsia"/>
                <w:sz w:val="32"/>
                <w:szCs w:val="32"/>
                <w:shd w:val="clear" w:color="auto" w:fill="FFFFFF"/>
              </w:rPr>
              <w:t>23</w:t>
            </w:r>
            <w:r>
              <w:rPr>
                <w:rFonts w:ascii="Times New Roman" w:eastAsia="仿宋_GB2312" w:hAnsi="Times New Roman" w:cs="Times New Roman" w:hint="eastAsia"/>
                <w:sz w:val="32"/>
                <w:szCs w:val="32"/>
                <w:shd w:val="clear" w:color="auto" w:fill="FFFFFF"/>
              </w:rPr>
              <w:t>年</w:t>
            </w:r>
            <w:r w:rsidR="005562EF">
              <w:rPr>
                <w:rFonts w:ascii="Times New Roman" w:eastAsia="仿宋_GB2312" w:hAnsi="Times New Roman" w:cs="Times New Roman"/>
                <w:sz w:val="32"/>
                <w:szCs w:val="32"/>
                <w:shd w:val="clear" w:color="auto" w:fill="FFFFFF"/>
              </w:rPr>
              <w:t>12</w:t>
            </w:r>
            <w:r>
              <w:rPr>
                <w:rFonts w:ascii="Times New Roman" w:eastAsia="仿宋_GB2312" w:hAnsi="Times New Roman" w:cs="Times New Roman" w:hint="eastAsia"/>
                <w:sz w:val="32"/>
                <w:szCs w:val="32"/>
                <w:shd w:val="clear" w:color="auto" w:fill="FFFFFF"/>
              </w:rPr>
              <w:t>月</w:t>
            </w:r>
            <w:r w:rsidR="005562EF">
              <w:rPr>
                <w:rFonts w:ascii="Times New Roman" w:eastAsia="仿宋_GB2312" w:hAnsi="Times New Roman" w:cs="Times New Roman"/>
                <w:sz w:val="32"/>
                <w:szCs w:val="32"/>
                <w:shd w:val="clear" w:color="auto" w:fill="FFFFFF"/>
              </w:rPr>
              <w:t>7</w:t>
            </w:r>
            <w:r>
              <w:rPr>
                <w:rFonts w:ascii="Times New Roman" w:eastAsia="仿宋_GB2312" w:hAnsi="Times New Roman" w:cs="Times New Roman"/>
                <w:sz w:val="32"/>
                <w:szCs w:val="32"/>
                <w:shd w:val="clear" w:color="auto" w:fill="FFFFFF"/>
              </w:rPr>
              <w:t>日</w:t>
            </w:r>
          </w:p>
        </w:tc>
      </w:tr>
    </w:tbl>
    <w:p w14:paraId="72C8E3EF" w14:textId="77777777" w:rsidR="00B7196C" w:rsidRDefault="00B7196C">
      <w:pPr>
        <w:spacing w:before="318" w:line="355" w:lineRule="auto"/>
        <w:ind w:left="385" w:right="714" w:firstLine="675"/>
        <w:jc w:val="both"/>
        <w:rPr>
          <w:rFonts w:ascii="仿宋" w:eastAsia="仿宋" w:hAnsi="仿宋" w:cs="仿宋"/>
          <w:spacing w:val="1"/>
          <w:w w:val="99"/>
          <w:sz w:val="32"/>
          <w:szCs w:val="32"/>
        </w:rPr>
      </w:pPr>
    </w:p>
    <w:p w14:paraId="1FDD2FFA" w14:textId="77777777" w:rsidR="00B7196C" w:rsidRDefault="00B7196C">
      <w:pPr>
        <w:jc w:val="right"/>
        <w:rPr>
          <w:rFonts w:ascii="Times New Roman" w:hAnsi="Times New Roman"/>
          <w:sz w:val="28"/>
        </w:rPr>
        <w:sectPr w:rsidR="00B7196C" w:rsidSect="00C279A7">
          <w:footerReference w:type="even" r:id="rId8"/>
          <w:footerReference w:type="default" r:id="rId9"/>
          <w:type w:val="continuous"/>
          <w:pgSz w:w="11910" w:h="16840"/>
          <w:pgMar w:top="1400" w:right="1060" w:bottom="1180" w:left="1360" w:header="0" w:footer="0" w:gutter="0"/>
          <w:cols w:space="720"/>
        </w:sectPr>
      </w:pPr>
    </w:p>
    <w:p w14:paraId="03864FE2" w14:textId="77777777" w:rsidR="00B7196C" w:rsidRDefault="00B7196C">
      <w:pPr>
        <w:pStyle w:val="a3"/>
        <w:spacing w:before="3"/>
        <w:rPr>
          <w:rFonts w:ascii="Times New Roman"/>
          <w:sz w:val="12"/>
        </w:rPr>
      </w:pPr>
    </w:p>
    <w:p w14:paraId="52B33E35" w14:textId="77777777" w:rsidR="00B7196C" w:rsidRDefault="00B7196C">
      <w:pPr>
        <w:spacing w:before="69" w:line="384" w:lineRule="auto"/>
        <w:ind w:left="1009" w:right="4349" w:hanging="445"/>
      </w:pPr>
    </w:p>
    <w:sectPr w:rsidR="00B7196C">
      <w:footerReference w:type="even" r:id="rId10"/>
      <w:footerReference w:type="default" r:id="rId11"/>
      <w:type w:val="continuous"/>
      <w:pgSz w:w="11910" w:h="16840"/>
      <w:pgMar w:top="2420" w:right="1180" w:bottom="1360" w:left="14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E9868" w14:textId="77777777" w:rsidR="00C279A7" w:rsidRDefault="00C279A7">
      <w:r>
        <w:separator/>
      </w:r>
    </w:p>
  </w:endnote>
  <w:endnote w:type="continuationSeparator" w:id="0">
    <w:p w14:paraId="31E45493" w14:textId="77777777" w:rsidR="00C279A7" w:rsidRDefault="00C27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65A04" w14:textId="77777777" w:rsidR="00B7196C" w:rsidRDefault="00000000">
    <w:pPr>
      <w:pStyle w:val="a3"/>
      <w:spacing w:line="14" w:lineRule="auto"/>
      <w:rPr>
        <w:sz w:val="20"/>
      </w:rPr>
    </w:pPr>
    <w:r>
      <w:pict w14:anchorId="569D9106">
        <v:shapetype id="_x0000_t202" coordsize="21600,21600" o:spt="202" path="m,l,21600r21600,l21600,xe">
          <v:stroke joinstyle="miter"/>
          <v:path gradientshapeok="t" o:connecttype="rect"/>
        </v:shapetype>
        <v:shape id="docshape4" o:spid="_x0000_s3076" type="#_x0000_t202" style="position:absolute;margin-left:72.65pt;margin-top:782.3pt;width:16.05pt;height:16.05pt;z-index:-251660288;mso-position-horizontal-relative:page;mso-position-vertical-relative:page;mso-width-relative:page;mso-height-relative:page" filled="f" stroked="f">
          <v:textbox inset="0,0,0,0">
            <w:txbxContent>
              <w:p w14:paraId="3B95E1F0" w14:textId="77777777" w:rsidR="00B7196C" w:rsidRDefault="00000000">
                <w:pPr>
                  <w:spacing w:line="321" w:lineRule="exact"/>
                  <w:ind w:left="20"/>
                  <w:rPr>
                    <w:sz w:val="28"/>
                  </w:rPr>
                </w:pPr>
                <w:r>
                  <w:rPr>
                    <w:sz w:val="28"/>
                  </w:rPr>
                  <w:t>—</w:t>
                </w:r>
              </w:p>
            </w:txbxContent>
          </v:textbox>
          <w10:wrap anchorx="page" anchory="page"/>
        </v:shape>
      </w:pict>
    </w:r>
    <w:r>
      <w:pict w14:anchorId="75D183A5">
        <v:shape id="docshape5" o:spid="_x0000_s3077" type="#_x0000_t202" style="position:absolute;margin-left:91.65pt;margin-top:781.75pt;width:14.05pt;height:17.6pt;z-index:-251659264;mso-position-horizontal-relative:page;mso-position-vertical-relative:page;mso-width-relative:page;mso-height-relative:page" filled="f" stroked="f">
          <v:textbox inset="0,0,0,0">
            <w:txbxContent>
              <w:p w14:paraId="06CBD48D" w14:textId="77777777" w:rsidR="00B7196C" w:rsidRDefault="00000000">
                <w:pPr>
                  <w:spacing w:before="9"/>
                  <w:ind w:left="60"/>
                  <w:rPr>
                    <w:rFonts w:ascii="Times New Roman"/>
                    <w:sz w:val="28"/>
                  </w:rPr>
                </w:pPr>
                <w:r>
                  <w:rPr>
                    <w:rFonts w:ascii="Times New Roman"/>
                    <w:sz w:val="28"/>
                  </w:rPr>
                  <w:fldChar w:fldCharType="begin"/>
                </w:r>
                <w:r>
                  <w:rPr>
                    <w:rFonts w:ascii="Times New Roman"/>
                    <w:sz w:val="28"/>
                  </w:rPr>
                  <w:instrText xml:space="preserve"> PAGE </w:instrText>
                </w:r>
                <w:r>
                  <w:rPr>
                    <w:rFonts w:ascii="Times New Roman"/>
                    <w:sz w:val="28"/>
                  </w:rPr>
                  <w:fldChar w:fldCharType="separate"/>
                </w:r>
                <w:r>
                  <w:rPr>
                    <w:rFonts w:ascii="Times New Roman"/>
                    <w:sz w:val="28"/>
                  </w:rPr>
                  <w:t>2</w:t>
                </w:r>
                <w:r>
                  <w:rPr>
                    <w:rFonts w:ascii="Times New Roman"/>
                    <w:sz w:val="28"/>
                  </w:rPr>
                  <w:fldChar w:fldCharType="end"/>
                </w:r>
              </w:p>
            </w:txbxContent>
          </v:textbox>
          <w10:wrap anchorx="page" anchory="page"/>
        </v:shape>
      </w:pict>
    </w:r>
    <w:r>
      <w:pict w14:anchorId="01B44370">
        <v:shape id="docshape6" o:spid="_x0000_s3078" type="#_x0000_t202" style="position:absolute;margin-left:107.7pt;margin-top:782.3pt;width:16.05pt;height:16.05pt;z-index:-251658240;mso-position-horizontal-relative:page;mso-position-vertical-relative:page;mso-width-relative:page;mso-height-relative:page" filled="f" stroked="f">
          <v:textbox inset="0,0,0,0">
            <w:txbxContent>
              <w:p w14:paraId="789134B3" w14:textId="77777777" w:rsidR="00B7196C" w:rsidRDefault="00000000">
                <w:pPr>
                  <w:spacing w:line="321" w:lineRule="exact"/>
                  <w:ind w:left="20"/>
                  <w:rPr>
                    <w:sz w:val="28"/>
                  </w:rPr>
                </w:pPr>
                <w:r>
                  <w:rPr>
                    <w:sz w:val="28"/>
                  </w:rPr>
                  <w:t>—</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6DE5F" w14:textId="77777777" w:rsidR="00B7196C" w:rsidRDefault="00B7196C">
    <w:pPr>
      <w:pStyle w:val="a3"/>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16CAE" w14:textId="77777777" w:rsidR="00B7196C" w:rsidRDefault="00000000">
    <w:pPr>
      <w:pStyle w:val="a3"/>
      <w:spacing w:line="14" w:lineRule="auto"/>
      <w:rPr>
        <w:sz w:val="20"/>
      </w:rPr>
    </w:pPr>
    <w:r>
      <w:pict w14:anchorId="7B8BC1C7">
        <v:shapetype id="_x0000_t202" coordsize="21600,21600" o:spt="202" path="m,l,21600r21600,l21600,xe">
          <v:stroke joinstyle="miter"/>
          <v:path gradientshapeok="t" o:connecttype="rect"/>
        </v:shapetype>
        <v:shape id="docshape81" o:spid="_x0000_s3080" type="#_x0000_t202" style="position:absolute;margin-left:71.5pt;margin-top:535.25pt;width:40.5pt;height:17.55pt;z-index:-251657216;mso-position-horizontal-relative:page;mso-position-vertical-relative:page;mso-width-relative:page;mso-height-relative:page" filled="f" stroked="f">
          <v:textbox inset="0,0,0,0">
            <w:txbxContent>
              <w:p w14:paraId="080669A2" w14:textId="77777777" w:rsidR="00B7196C" w:rsidRDefault="00000000">
                <w:pPr>
                  <w:spacing w:before="8"/>
                  <w:ind w:left="20"/>
                  <w:rPr>
                    <w:rFonts w:ascii="Times New Roman" w:hAnsi="Times New Roman"/>
                    <w:sz w:val="28"/>
                  </w:rPr>
                </w:pPr>
                <w:r>
                  <w:rPr>
                    <w:rFonts w:ascii="Times New Roman" w:hAnsi="Times New Roman"/>
                    <w:sz w:val="28"/>
                  </w:rPr>
                  <w:t>—</w:t>
                </w:r>
                <w:r>
                  <w:rPr>
                    <w:rFonts w:ascii="Times New Roman" w:hAnsi="Times New Roman"/>
                    <w:sz w:val="28"/>
                  </w:rPr>
                  <w:fldChar w:fldCharType="begin"/>
                </w:r>
                <w:r>
                  <w:rPr>
                    <w:rFonts w:ascii="Times New Roman" w:hAnsi="Times New Roman"/>
                    <w:sz w:val="28"/>
                  </w:rPr>
                  <w:instrText xml:space="preserve"> PAGE </w:instrText>
                </w:r>
                <w:r>
                  <w:rPr>
                    <w:rFonts w:ascii="Times New Roman" w:hAnsi="Times New Roman"/>
                    <w:sz w:val="28"/>
                  </w:rPr>
                  <w:fldChar w:fldCharType="separate"/>
                </w:r>
                <w:r>
                  <w:rPr>
                    <w:rFonts w:ascii="Times New Roman" w:hAnsi="Times New Roman"/>
                    <w:sz w:val="28"/>
                  </w:rPr>
                  <w:t>8</w:t>
                </w:r>
                <w:r>
                  <w:rPr>
                    <w:rFonts w:ascii="Times New Roman" w:hAnsi="Times New Roman"/>
                    <w:sz w:val="28"/>
                  </w:rPr>
                  <w:fldChar w:fldCharType="end"/>
                </w:r>
                <w:r>
                  <w:rPr>
                    <w:rFonts w:ascii="Times New Roman" w:hAnsi="Times New Roman"/>
                    <w:sz w:val="28"/>
                  </w:rPr>
                  <w:t xml:space="preserve"> </w:t>
                </w:r>
                <w:r>
                  <w:rPr>
                    <w:rFonts w:ascii="Times New Roman" w:hAnsi="Times New Roman"/>
                    <w:spacing w:val="-10"/>
                    <w:sz w:val="28"/>
                  </w:rPr>
                  <w:t>—</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05A7B" w14:textId="77777777" w:rsidR="00B7196C" w:rsidRDefault="00B7196C">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6DE68" w14:textId="77777777" w:rsidR="00C279A7" w:rsidRDefault="00C279A7">
      <w:r>
        <w:separator/>
      </w:r>
    </w:p>
  </w:footnote>
  <w:footnote w:type="continuationSeparator" w:id="0">
    <w:p w14:paraId="2D55CB17" w14:textId="77777777" w:rsidR="00C279A7" w:rsidRDefault="00C27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5F1B0"/>
    <w:multiLevelType w:val="singleLevel"/>
    <w:tmpl w:val="3195F1B0"/>
    <w:lvl w:ilvl="0">
      <w:start w:val="2"/>
      <w:numFmt w:val="chineseCounting"/>
      <w:suff w:val="nothing"/>
      <w:lvlText w:val="%1、"/>
      <w:lvlJc w:val="left"/>
      <w:rPr>
        <w:rFonts w:hint="eastAsia"/>
      </w:rPr>
    </w:lvl>
  </w:abstractNum>
  <w:num w:numId="1" w16cid:durableId="424808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noPunctuationKerning/>
  <w:characterSpacingControl w:val="doNotCompress"/>
  <w:hdrShapeDefaults>
    <o:shapedefaults v:ext="edit" spidmax="3081"/>
    <o:shapelayout v:ext="edit">
      <o:idmap v:ext="edit" data="1,3"/>
    </o:shapelayout>
  </w:hdrShapeDefaults>
  <w:footnotePr>
    <w:footnote w:id="-1"/>
    <w:footnote w:id="0"/>
  </w:footnotePr>
  <w:endnotePr>
    <w:endnote w:id="-1"/>
    <w:endnote w:id="0"/>
  </w:endnotePr>
  <w:compat>
    <w:ulTrailSpace/>
    <w:doNotExpandShiftReturn/>
    <w:doNotWrapTextWithPunct/>
    <w:doNotUseEastAsianBreakRules/>
    <w:useFELayout/>
    <w:doNotUseIndentAsNumberingTabStop/>
    <w:compatSetting w:name="compatibilityMode" w:uri="http://schemas.microsoft.com/office/word" w:val="14"/>
    <w:compatSetting w:name="useWord2013TrackBottomHyphenation" w:uri="http://schemas.microsoft.com/office/word" w:val="1"/>
  </w:compat>
  <w:docVars>
    <w:docVar w:name="commondata" w:val="eyJoZGlkIjoiYTVhMWQxZmI1MGY1NTdiM2NjOTA5YjJkZjY2OWIwMDMifQ=="/>
  </w:docVars>
  <w:rsids>
    <w:rsidRoot w:val="00B7196C"/>
    <w:rsid w:val="005562EF"/>
    <w:rsid w:val="00B7196C"/>
    <w:rsid w:val="00C279A7"/>
    <w:rsid w:val="098D1513"/>
    <w:rsid w:val="23494580"/>
    <w:rsid w:val="25093FE7"/>
    <w:rsid w:val="25A25E59"/>
    <w:rsid w:val="2FCB7E4E"/>
    <w:rsid w:val="460A4BB7"/>
    <w:rsid w:val="529A5705"/>
    <w:rsid w:val="60FA003F"/>
    <w:rsid w:val="61BA4586"/>
    <w:rsid w:val="66EE454E"/>
    <w:rsid w:val="6A256A34"/>
    <w:rsid w:val="6B423746"/>
    <w:rsid w:val="6BBF46D8"/>
    <w:rsid w:val="6D7B2804"/>
    <w:rsid w:val="76C93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81"/>
    <o:shapelayout v:ext="edit">
      <o:idmap v:ext="edit" data="2"/>
    </o:shapelayout>
  </w:shapeDefaults>
  <w:decimalSymbol w:val="."/>
  <w:listSeparator w:val=","/>
  <w14:docId w14:val="67042158"/>
  <w15:docId w15:val="{13E313EF-0CE8-42F1-B563-DA5F318C3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uiPriority w:val="1"/>
    <w:qFormat/>
    <w:pPr>
      <w:widowControl w:val="0"/>
      <w:autoSpaceDE w:val="0"/>
      <w:autoSpaceDN w:val="0"/>
    </w:pPr>
    <w:rPr>
      <w:rFonts w:ascii="宋体" w:hAnsi="宋体" w:cs="宋体"/>
      <w:sz w:val="22"/>
      <w:szCs w:val="22"/>
    </w:rPr>
  </w:style>
  <w:style w:type="paragraph" w:styleId="2">
    <w:name w:val="heading 2"/>
    <w:basedOn w:val="a"/>
    <w:next w:val="a"/>
    <w:unhideWhenUsed/>
    <w:qFormat/>
    <w:pPr>
      <w:keepNext/>
      <w:keepLines/>
      <w:spacing w:before="260" w:after="260" w:line="413" w:lineRule="auto"/>
      <w:jc w:val="both"/>
      <w:outlineLvl w:val="1"/>
    </w:pPr>
    <w:rPr>
      <w:rFonts w:ascii="Arial" w:eastAsia="黑体" w:hAnsi="Arial" w:cstheme="minorBidi"/>
      <w:b/>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仿宋" w:eastAsia="仿宋" w:hAnsi="仿宋" w:cs="仿宋"/>
      <w:sz w:val="32"/>
      <w:szCs w:val="32"/>
    </w:rPr>
  </w:style>
  <w:style w:type="paragraph" w:styleId="a4">
    <w:name w:val="Title"/>
    <w:basedOn w:val="a"/>
    <w:uiPriority w:val="1"/>
    <w:qFormat/>
    <w:pPr>
      <w:spacing w:line="722" w:lineRule="exact"/>
      <w:ind w:left="818" w:right="1117"/>
      <w:jc w:val="center"/>
    </w:pPr>
    <w:rPr>
      <w:rFonts w:ascii="Arial Unicode MS" w:eastAsia="Arial Unicode MS" w:hAnsi="Arial Unicode MS" w:cs="Arial Unicode MS"/>
      <w:sz w:val="44"/>
      <w:szCs w:val="4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5">
    <w:name w:val="List Paragraph"/>
    <w:basedOn w:val="a"/>
    <w:uiPriority w:val="1"/>
    <w:qFormat/>
    <w:pPr>
      <w:spacing w:before="168"/>
      <w:ind w:left="2192" w:hanging="479"/>
    </w:pPr>
    <w:rPr>
      <w:rFonts w:ascii="仿宋" w:eastAsia="仿宋" w:hAnsi="仿宋" w:cs="仿宋"/>
    </w:rPr>
  </w:style>
  <w:style w:type="paragraph" w:customStyle="1" w:styleId="TableParagraph">
    <w:name w:val="Table Paragraph"/>
    <w:basedOn w:val="a"/>
    <w:uiPriority w:val="1"/>
    <w:qFormat/>
  </w:style>
  <w:style w:type="paragraph" w:styleId="a6">
    <w:name w:val="header"/>
    <w:basedOn w:val="a"/>
    <w:link w:val="a7"/>
    <w:rsid w:val="005562EF"/>
    <w:pPr>
      <w:tabs>
        <w:tab w:val="center" w:pos="4153"/>
        <w:tab w:val="right" w:pos="8306"/>
      </w:tabs>
      <w:snapToGrid w:val="0"/>
      <w:jc w:val="center"/>
    </w:pPr>
    <w:rPr>
      <w:sz w:val="18"/>
      <w:szCs w:val="18"/>
    </w:rPr>
  </w:style>
  <w:style w:type="character" w:customStyle="1" w:styleId="a7">
    <w:name w:val="页眉 字符"/>
    <w:basedOn w:val="a0"/>
    <w:link w:val="a6"/>
    <w:rsid w:val="005562EF"/>
    <w:rPr>
      <w:rFonts w:ascii="宋体" w:hAnsi="宋体" w:cs="宋体"/>
      <w:sz w:val="18"/>
      <w:szCs w:val="18"/>
    </w:rPr>
  </w:style>
  <w:style w:type="paragraph" w:styleId="a8">
    <w:name w:val="footer"/>
    <w:basedOn w:val="a"/>
    <w:link w:val="a9"/>
    <w:rsid w:val="005562EF"/>
    <w:pPr>
      <w:tabs>
        <w:tab w:val="center" w:pos="4153"/>
        <w:tab w:val="right" w:pos="8306"/>
      </w:tabs>
      <w:snapToGrid w:val="0"/>
    </w:pPr>
    <w:rPr>
      <w:sz w:val="18"/>
      <w:szCs w:val="18"/>
    </w:rPr>
  </w:style>
  <w:style w:type="character" w:customStyle="1" w:styleId="a9">
    <w:name w:val="页脚 字符"/>
    <w:basedOn w:val="a0"/>
    <w:link w:val="a8"/>
    <w:rsid w:val="005562EF"/>
    <w:rPr>
      <w:rFonts w:ascii="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100"/>
    <customShpInfo spid="_x0000_s4101"/>
    <customShpInfo spid="_x0000_s4102"/>
    <customShpInfo spid="_x0000_s410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238</Words>
  <Characters>1362</Characters>
  <Application>Microsoft Office Word</Application>
  <DocSecurity>0</DocSecurity>
  <Lines>11</Lines>
  <Paragraphs>3</Paragraphs>
  <ScaleCrop>false</ScaleCrop>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广州市黄埔区人民政府征地补偿安置公告</dc:title>
  <dc:creator>周大效(新号)</dc:creator>
  <cp:lastModifiedBy>243178824@qq.com</cp:lastModifiedBy>
  <cp:revision>2</cp:revision>
  <dcterms:created xsi:type="dcterms:W3CDTF">2023-10-07T01:22:00Z</dcterms:created>
  <dcterms:modified xsi:type="dcterms:W3CDTF">2023-12-19T06:35:00Z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2023-06-26T00:00:00Z</vt:filetime>
  </property>
  <property fmtid="{D5CDD505-2E9C-101B-9397-08002B2CF9AE}" pid="3" name="Creator">
    <vt:lpwstr>WPS 文字</vt:lpwstr>
  </property>
  <property fmtid="{D5CDD505-2E9C-101B-9397-08002B2CF9AE}" pid="4" name="LastSaved">
    <vt:filetime>2023-10-07T00:00:00Z</vt:filetime>
  </property>
  <property fmtid="{D5CDD505-2E9C-101B-9397-08002B2CF9AE}" pid="5" name="KSOProductBuildVer">
    <vt:lpwstr>2052-11.8.2.12085</vt:lpwstr>
  </property>
  <property fmtid="{D5CDD505-2E9C-101B-9397-08002B2CF9AE}" pid="6" name="ICV">
    <vt:lpwstr>7962AB3B0D3740E9B7992C137BD9FDCF</vt:lpwstr>
  </property>
</Properties>
</file>