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pStyle w:val="2"/>
        <w:rPr>
          <w:rFonts w:hint="eastAsia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征地补偿安置方案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区人民政府拟征收该区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派潭镇高滩村高滩股份经济合作社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1.1345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根据《中华人民共和国土地管理法》《广东省土地管理条例》等规定，结合增城区的征收农用地区片综合地价和实际情况，拟定了征地补偿安置方案，具体如下：</w:t>
      </w:r>
    </w:p>
    <w:p>
      <w:pPr>
        <w:numPr>
          <w:ilvl w:val="0"/>
          <w:numId w:val="0"/>
        </w:numPr>
        <w:spacing w:line="540" w:lineRule="exact"/>
        <w:ind w:left="56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征收集体土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1.1345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公顷，征收集体土地的地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类为农用地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1.1345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1.1018公顷、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0.0002公顷、草地0.0118公顷、其他农用地0.0207公顷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二、征地补偿标准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1.1345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公顷集体土地的区片综合地价标准为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万元/公顷（土地补偿费标准为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万元/公顷、安置补助费标准为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万元/公顷），土地补偿总费用为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153.1575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青苗补偿费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74.8770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派潭镇高滩村高滩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股份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转付土地承包者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附着物产权人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、安置措施情况</w:t>
      </w:r>
    </w:p>
    <w:p>
      <w:p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为妥善安置被征地农民，切实解决被征地农民的生产生活出路，在保证货币安置落实的同时，按实际征地面积的10%比例核计出的留用地替代以折算货币方式进行补偿，补偿标准为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万元/公顷,补偿总额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71.5050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给上述被征地农民落实基本养老保险和培训就业等社会保障措施，以确保被征地农民的原有生活水平不降低，长远生计有保障，具体将按省的征地社会保障实施方案办理。</w:t>
      </w:r>
    </w:p>
    <w:p>
      <w:pPr>
        <w:pStyle w:val="2"/>
        <w:rPr>
          <w:rFonts w:hint="eastAsia"/>
        </w:rPr>
      </w:pPr>
    </w:p>
    <w:p>
      <w:pPr>
        <w:rPr>
          <w:rFonts w:hint="eastAsia" w:eastAsia="仿宋_GB2312"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br w:type="page"/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征地补偿安置方案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区人民政府拟征收该区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派潭镇高滩村林田坳股份经济合作社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0.4360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根据《中华人民共和国土地管理法》、《广东省土地管理条例》等规定，结合增城区的征收农用地区片综合地价和实际情况，拟定了征地补偿安置方案，具体如下：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征收集体土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0.4360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公顷，征收集体土地的地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类为农用地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0.4360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0.0227公顷、草地0.3931公顷、其他农用地0.0202公顷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二、征地补偿标准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0.4360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公顷集体土地的区片综合地价标准为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万元/公顷（土地补偿费标准为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万元/公顷、安置补助费标准为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万元/公顷），土地补偿总费用为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58.8600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青苗补偿费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28.7760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派潭镇高滩村林田坳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股份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转付土地承包者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附着物产权人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、安置措施情况</w:t>
      </w:r>
    </w:p>
    <w:p>
      <w:p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为妥善安置被征地农民，切实解决被征地农民的生产生活出路，在保证货币安置落实的同时，按实际征地面积的10%比例核计出的留用地替代以折算货币方式进行补偿，补偿标准为</w:t>
      </w:r>
      <w:r>
        <w:rPr>
          <w:rFonts w:hint="eastAsia" w:eastAsia="仿宋_GB2312"/>
          <w:sz w:val="32"/>
          <w:szCs w:val="32"/>
          <w:lang w:val="en-US" w:eastAsia="zh-CN"/>
        </w:rPr>
        <w:t>630</w:t>
      </w:r>
      <w:r>
        <w:rPr>
          <w:rFonts w:hint="eastAsia" w:eastAsia="仿宋_GB2312"/>
          <w:sz w:val="32"/>
          <w:szCs w:val="32"/>
        </w:rPr>
        <w:t>万元/公顷,补偿总额</w:t>
      </w:r>
      <w:r>
        <w:rPr>
          <w:rFonts w:hint="eastAsia" w:eastAsia="仿宋_GB2312"/>
          <w:sz w:val="32"/>
          <w:szCs w:val="32"/>
          <w:highlight w:val="none"/>
        </w:rPr>
        <w:t>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27.4680</w:t>
      </w:r>
      <w:r>
        <w:rPr>
          <w:rFonts w:hint="eastAsia" w:eastAsia="仿宋_GB2312"/>
          <w:sz w:val="32"/>
          <w:szCs w:val="32"/>
          <w:highlight w:val="none"/>
        </w:rPr>
        <w:t>万元；</w:t>
      </w:r>
      <w:r>
        <w:rPr>
          <w:rFonts w:hint="eastAsia" w:eastAsia="仿宋_GB2312"/>
          <w:sz w:val="32"/>
          <w:szCs w:val="32"/>
        </w:rPr>
        <w:t>给上述被征地农民落实基本养老保险和培训就业等社会保障措施，以确保被征地农民的原有生活水平不降低，长远生计有保障，具体将按省的征地社会保障实施方案办理。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br w:type="page"/>
      </w:r>
    </w:p>
    <w:p>
      <w:pPr>
        <w:pStyle w:val="2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 w:bidi="ar-SA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 w:bidi="ar-SA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征地补偿安置方案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区人民政府拟征收该区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派潭镇上九陂村北山股份经济合作社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1.2861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根据《中华人民共和国土地管理法》《广东省土地管理条例》等规定，结合增城区的征收农用地区片综合地价和实际情况，拟定了征地补偿安置方案，具体如下：</w:t>
      </w:r>
    </w:p>
    <w:p>
      <w:pPr>
        <w:numPr>
          <w:numId w:val="0"/>
        </w:numPr>
        <w:spacing w:line="540" w:lineRule="exact"/>
        <w:ind w:left="56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征收集体土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1.2861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公顷，征收集体土地的地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类为农用地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1.2861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0.7078公顷、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0.5783公顷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二、征地补偿标准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1.2861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公顷集体土地的区片综合地价标准为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万元/公顷（土地补偿费标准为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万元/公顷、安置补助费标准为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万元/公顷），土地补偿总费用为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173.6235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青苗补偿费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84.8826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由广州市增城区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派潭镇上九陂村北山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股份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转付土地承包者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附着物产权人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、安置措施情况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为妥善安置被征地农民，切实解决被征地农民的生产生活出路，在保证货币安置落实的同时，按实际征地面积的10%比例核计出的留用地替代以折算货币方式进行补偿，补偿标准为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万元/公顷,补偿总额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81.0180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给上述被征地农民落实基本养老保险和培训就业等社会保障措施，以确保被征地农民的原有生活水平不降低，长远生计有保障，具体将按省的征地社会保障实施方案办理。</w:t>
      </w:r>
    </w:p>
    <w:p>
      <w:pPr>
        <w:spacing w:line="400" w:lineRule="exact"/>
        <w:rPr>
          <w:rFonts w:hint="eastAsia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΢ȭхڢ; line-height:23px;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E1F"/>
    <w:rsid w:val="003C1D22"/>
    <w:rsid w:val="00524E1F"/>
    <w:rsid w:val="06157574"/>
    <w:rsid w:val="0BE04F08"/>
    <w:rsid w:val="155E17D0"/>
    <w:rsid w:val="17520CC6"/>
    <w:rsid w:val="1E466989"/>
    <w:rsid w:val="26FB6CE9"/>
    <w:rsid w:val="27D22B5D"/>
    <w:rsid w:val="280016AE"/>
    <w:rsid w:val="30B94A34"/>
    <w:rsid w:val="34741837"/>
    <w:rsid w:val="372778F3"/>
    <w:rsid w:val="3CE773DA"/>
    <w:rsid w:val="3FAD3567"/>
    <w:rsid w:val="402C4D24"/>
    <w:rsid w:val="43183D7C"/>
    <w:rsid w:val="48D50B7B"/>
    <w:rsid w:val="4C036A5E"/>
    <w:rsid w:val="53B60D54"/>
    <w:rsid w:val="54C82795"/>
    <w:rsid w:val="572E0347"/>
    <w:rsid w:val="60965881"/>
    <w:rsid w:val="62E8454E"/>
    <w:rsid w:val="68A96041"/>
    <w:rsid w:val="6C5E3953"/>
    <w:rsid w:val="738A7A35"/>
    <w:rsid w:val="73DB4B96"/>
    <w:rsid w:val="73E51E06"/>
    <w:rsid w:val="7C2E389D"/>
    <w:rsid w:val="7E4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3">
    <w:name w:val="annotation text"/>
    <w:basedOn w:val="1"/>
    <w:link w:val="7"/>
    <w:qFormat/>
    <w:uiPriority w:val="0"/>
    <w:pPr>
      <w:jc w:val="left"/>
    </w:pPr>
  </w:style>
  <w:style w:type="paragraph" w:styleId="4">
    <w:name w:val="Balloon Text"/>
    <w:basedOn w:val="1"/>
    <w:link w:val="8"/>
    <w:unhideWhenUsed/>
    <w:qFormat/>
    <w:uiPriority w:val="99"/>
    <w:rPr>
      <w:sz w:val="18"/>
      <w:szCs w:val="18"/>
    </w:rPr>
  </w:style>
  <w:style w:type="character" w:customStyle="1" w:styleId="7">
    <w:name w:val="批注文字 Char"/>
    <w:basedOn w:val="5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806</Characters>
  <Lines>6</Lines>
  <Paragraphs>1</Paragraphs>
  <ScaleCrop>false</ScaleCrop>
  <LinksUpToDate>false</LinksUpToDate>
  <CharactersWithSpaces>946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2021-04-25T06:28:00Z</dcterms:created>
  <dc:creator>钟启琤</dc:creator>
  <cp:lastModifiedBy>NTKO</cp:lastModifiedBy>
  <dcterms:modified xsi:type="dcterms:W3CDTF">2023-10-19T09:32:23Z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