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outlineLvl w:val="1"/>
        <w:rPr>
          <w:rFonts w:ascii="Calibri" w:hAnsi="Calibri" w:eastAsia="宋体"/>
          <w:b/>
          <w:color w:val="auto"/>
          <w:sz w:val="32"/>
        </w:rPr>
      </w:pPr>
      <w:r>
        <w:rPr>
          <w:rFonts w:hint="eastAsia" w:ascii="Calibri" w:hAnsi="Calibri" w:eastAsia="宋体"/>
          <w:b/>
          <w:color w:val="auto"/>
          <w:sz w:val="32"/>
        </w:rPr>
        <w:t>附件</w:t>
      </w:r>
      <w:r>
        <w:rPr>
          <w:rFonts w:ascii="Calibri" w:hAnsi="Calibri" w:eastAsia="宋体"/>
          <w:b/>
          <w:color w:val="auto"/>
          <w:sz w:val="32"/>
        </w:rPr>
        <w:t>6</w:t>
      </w:r>
    </w:p>
    <w:p>
      <w:pPr>
        <w:jc w:val="center"/>
        <w:rPr>
          <w:rFonts w:ascii="Times New Roman" w:hAnsi="Times New Roman" w:eastAsia="宋体"/>
          <w:b/>
          <w:color w:val="auto"/>
          <w:kern w:val="21"/>
          <w:sz w:val="32"/>
          <w:szCs w:val="32"/>
        </w:rPr>
      </w:pPr>
      <w:r>
        <w:rPr>
          <w:rFonts w:hint="eastAsia" w:ascii="Calibri" w:hAnsi="Calibri" w:eastAsia="宋体"/>
          <w:b/>
          <w:color w:val="auto"/>
          <w:sz w:val="44"/>
        </w:rPr>
        <w:t>广东省</w:t>
      </w:r>
      <w:r>
        <w:rPr>
          <w:rFonts w:ascii="Calibri" w:hAnsi="Calibri" w:eastAsia="宋体"/>
          <w:b/>
          <w:color w:val="auto"/>
          <w:sz w:val="44"/>
        </w:rPr>
        <w:t>设施农用地</w:t>
      </w:r>
      <w:r>
        <w:rPr>
          <w:rFonts w:hint="eastAsia" w:ascii="Calibri" w:hAnsi="Calibri" w:eastAsia="宋体"/>
          <w:b/>
          <w:color w:val="auto"/>
          <w:sz w:val="44"/>
        </w:rPr>
        <w:t>建设</w:t>
      </w:r>
      <w:r>
        <w:rPr>
          <w:rFonts w:ascii="Calibri" w:hAnsi="Calibri" w:eastAsia="宋体"/>
          <w:b/>
          <w:color w:val="auto"/>
          <w:sz w:val="44"/>
        </w:rPr>
        <w:t>方案报告表</w:t>
      </w:r>
    </w:p>
    <w:tbl>
      <w:tblPr>
        <w:tblStyle w:val="3"/>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473"/>
        <w:gridCol w:w="205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1192" w:type="dxa"/>
            <w:vMerge w:val="restart"/>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基本情况</w:t>
            </w:r>
          </w:p>
        </w:tc>
        <w:tc>
          <w:tcPr>
            <w:tcW w:w="1473" w:type="dxa"/>
            <w:vAlign w:val="center"/>
          </w:tcPr>
          <w:p>
            <w:pPr>
              <w:widowControl/>
              <w:spacing w:line="550" w:lineRule="exact"/>
              <w:jc w:val="center"/>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设施农用地名称</w:t>
            </w:r>
          </w:p>
        </w:tc>
        <w:tc>
          <w:tcPr>
            <w:tcW w:w="5730" w:type="dxa"/>
            <w:gridSpan w:val="2"/>
            <w:vAlign w:val="center"/>
          </w:tcPr>
          <w:p>
            <w:pPr>
              <w:widowControl/>
              <w:spacing w:line="550" w:lineRule="exact"/>
              <w:rPr>
                <w:rFonts w:hint="eastAsia" w:ascii="仿宋_GB2312" w:hAnsi="仿宋_GB2312" w:eastAsia="仿宋_GB2312" w:cs="仿宋_GB2312"/>
                <w:color w:val="auto"/>
                <w:kern w:val="2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192" w:type="dxa"/>
            <w:vMerge w:val="continue"/>
            <w:vAlign w:val="center"/>
          </w:tcPr>
          <w:p>
            <w:pPr>
              <w:widowControl/>
              <w:spacing w:line="550" w:lineRule="exact"/>
              <w:jc w:val="left"/>
              <w:rPr>
                <w:rFonts w:ascii="Times New Roman" w:hAnsi="Times New Roman" w:eastAsia="黑体" w:cs="宋体"/>
                <w:color w:val="auto"/>
                <w:kern w:val="21"/>
                <w:sz w:val="24"/>
                <w:szCs w:val="24"/>
              </w:rPr>
            </w:pPr>
          </w:p>
        </w:tc>
        <w:tc>
          <w:tcPr>
            <w:tcW w:w="1473" w:type="dxa"/>
            <w:vAlign w:val="center"/>
          </w:tcPr>
          <w:p>
            <w:pPr>
              <w:widowControl/>
              <w:spacing w:line="550" w:lineRule="exact"/>
              <w:jc w:val="center"/>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设施农用地四至坐落</w:t>
            </w:r>
          </w:p>
        </w:tc>
        <w:tc>
          <w:tcPr>
            <w:tcW w:w="5730" w:type="dxa"/>
            <w:gridSpan w:val="2"/>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设施农用地位于</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村/经济社；</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其中东至</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，南至</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，西至</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，北至</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。（详见附图）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192" w:type="dxa"/>
            <w:vMerge w:val="continue"/>
            <w:vAlign w:val="center"/>
          </w:tcPr>
          <w:p>
            <w:pPr>
              <w:widowControl/>
              <w:spacing w:line="550" w:lineRule="exact"/>
              <w:jc w:val="left"/>
              <w:rPr>
                <w:rFonts w:ascii="Times New Roman" w:hAnsi="Times New Roman" w:eastAsia="黑体" w:cs="宋体"/>
                <w:color w:val="auto"/>
                <w:kern w:val="21"/>
                <w:sz w:val="24"/>
                <w:szCs w:val="24"/>
              </w:rPr>
            </w:pPr>
          </w:p>
        </w:tc>
        <w:tc>
          <w:tcPr>
            <w:tcW w:w="1473" w:type="dxa"/>
            <w:vAlign w:val="center"/>
          </w:tcPr>
          <w:p>
            <w:pPr>
              <w:widowControl/>
              <w:spacing w:line="550" w:lineRule="exact"/>
              <w:jc w:val="center"/>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设施农用地面积</w:t>
            </w:r>
          </w:p>
        </w:tc>
        <w:tc>
          <w:tcPr>
            <w:tcW w:w="5730" w:type="dxa"/>
            <w:gridSpan w:val="2"/>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共</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亩；</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其中生产设施</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亩，配套设施</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亩，附属设施</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192" w:type="dxa"/>
            <w:vMerge w:val="continue"/>
            <w:vAlign w:val="center"/>
          </w:tcPr>
          <w:p>
            <w:pPr>
              <w:widowControl/>
              <w:spacing w:line="550" w:lineRule="exact"/>
              <w:jc w:val="left"/>
              <w:rPr>
                <w:rFonts w:ascii="Times New Roman" w:hAnsi="Times New Roman" w:eastAsia="黑体" w:cs="宋体"/>
                <w:color w:val="auto"/>
                <w:kern w:val="21"/>
                <w:sz w:val="24"/>
                <w:szCs w:val="24"/>
              </w:rPr>
            </w:pPr>
          </w:p>
        </w:tc>
        <w:tc>
          <w:tcPr>
            <w:tcW w:w="1473" w:type="dxa"/>
            <w:vMerge w:val="restart"/>
            <w:vAlign w:val="center"/>
          </w:tcPr>
          <w:p>
            <w:pPr>
              <w:widowControl/>
              <w:spacing w:line="550" w:lineRule="exact"/>
              <w:jc w:val="center"/>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设施农用地权属情况</w:t>
            </w:r>
          </w:p>
        </w:tc>
        <w:tc>
          <w:tcPr>
            <w:tcW w:w="5730" w:type="dxa"/>
            <w:gridSpan w:val="2"/>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设施农用地所有权人为</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1192" w:type="dxa"/>
            <w:vMerge w:val="continue"/>
            <w:vAlign w:val="center"/>
          </w:tcPr>
          <w:p>
            <w:pPr>
              <w:widowControl/>
              <w:spacing w:line="550" w:lineRule="exact"/>
              <w:jc w:val="left"/>
              <w:rPr>
                <w:rFonts w:ascii="Times New Roman" w:hAnsi="Times New Roman" w:eastAsia="黑体" w:cs="宋体"/>
                <w:color w:val="auto"/>
                <w:kern w:val="21"/>
                <w:sz w:val="24"/>
                <w:szCs w:val="24"/>
              </w:rPr>
            </w:pPr>
          </w:p>
        </w:tc>
        <w:tc>
          <w:tcPr>
            <w:tcW w:w="1473" w:type="dxa"/>
            <w:vMerge w:val="continue"/>
            <w:vAlign w:val="center"/>
          </w:tcPr>
          <w:p>
            <w:pPr>
              <w:widowControl/>
              <w:spacing w:line="550" w:lineRule="exact"/>
              <w:jc w:val="center"/>
              <w:rPr>
                <w:rFonts w:hint="eastAsia" w:ascii="仿宋_GB2312" w:hAnsi="仿宋_GB2312" w:eastAsia="仿宋_GB2312" w:cs="仿宋_GB2312"/>
                <w:color w:val="auto"/>
                <w:kern w:val="21"/>
                <w:sz w:val="22"/>
                <w:szCs w:val="22"/>
              </w:rPr>
            </w:pPr>
          </w:p>
        </w:tc>
        <w:tc>
          <w:tcPr>
            <w:tcW w:w="5730" w:type="dxa"/>
            <w:gridSpan w:val="2"/>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设施农用地经营权人为</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1192" w:type="dxa"/>
            <w:vMerge w:val="continue"/>
            <w:vAlign w:val="center"/>
          </w:tcPr>
          <w:p>
            <w:pPr>
              <w:widowControl/>
              <w:spacing w:line="550" w:lineRule="exact"/>
              <w:jc w:val="left"/>
              <w:rPr>
                <w:rFonts w:ascii="Times New Roman" w:hAnsi="Times New Roman" w:eastAsia="黑体" w:cs="宋体"/>
                <w:color w:val="auto"/>
                <w:kern w:val="21"/>
                <w:sz w:val="24"/>
                <w:szCs w:val="24"/>
              </w:rPr>
            </w:pPr>
          </w:p>
        </w:tc>
        <w:tc>
          <w:tcPr>
            <w:tcW w:w="1473" w:type="dxa"/>
            <w:vAlign w:val="center"/>
          </w:tcPr>
          <w:p>
            <w:pPr>
              <w:widowControl/>
              <w:spacing w:line="550" w:lineRule="exact"/>
              <w:jc w:val="center"/>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设施农用地使用期限</w:t>
            </w:r>
          </w:p>
        </w:tc>
        <w:tc>
          <w:tcPr>
            <w:tcW w:w="5730" w:type="dxa"/>
            <w:gridSpan w:val="2"/>
            <w:vAlign w:val="center"/>
          </w:tcPr>
          <w:p>
            <w:pPr>
              <w:widowControl/>
              <w:spacing w:line="550" w:lineRule="exact"/>
              <w:jc w:val="lef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从</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年</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月</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日至</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年</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月</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日，共</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1192" w:type="dxa"/>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土地利用现状</w:t>
            </w:r>
          </w:p>
        </w:tc>
        <w:tc>
          <w:tcPr>
            <w:tcW w:w="7203" w:type="dxa"/>
            <w:gridSpan w:val="3"/>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二级地类为</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，面积为</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92" w:type="dxa"/>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土地损毁类型</w:t>
            </w:r>
          </w:p>
        </w:tc>
        <w:tc>
          <w:tcPr>
            <w:tcW w:w="7203" w:type="dxa"/>
            <w:gridSpan w:val="3"/>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设施农用地属于(已建设/拟建设)，对土地造成的损毁类型为 (挖损/压占/污染)，面积</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亩，(是/否)在设施农用地搭建临时建筑，建筑面积约</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亩，建筑材料主要为</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1192" w:type="dxa"/>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预期复垦方向</w:t>
            </w:r>
          </w:p>
        </w:tc>
        <w:tc>
          <w:tcPr>
            <w:tcW w:w="7203" w:type="dxa"/>
            <w:gridSpan w:val="3"/>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复垦方向二级地类为</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，面积</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亩；</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土地复垦率(复垦面积/设施农用地面积)</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trPr>
        <w:tc>
          <w:tcPr>
            <w:tcW w:w="1192" w:type="dxa"/>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土地复垦投资</w:t>
            </w:r>
          </w:p>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估</w:t>
            </w:r>
            <w:r>
              <w:rPr>
                <w:rFonts w:ascii="Times New Roman" w:hAnsi="Times New Roman"/>
                <w:color w:val="auto"/>
                <w:kern w:val="21"/>
                <w:sz w:val="24"/>
                <w:szCs w:val="24"/>
              </w:rPr>
              <w:t>(</w:t>
            </w:r>
            <w:r>
              <w:rPr>
                <w:rFonts w:hint="eastAsia" w:ascii="Times New Roman" w:hAnsi="Times New Roman" w:eastAsia="黑体"/>
                <w:color w:val="auto"/>
                <w:kern w:val="21"/>
                <w:sz w:val="24"/>
                <w:szCs w:val="24"/>
              </w:rPr>
              <w:t>概</w:t>
            </w:r>
            <w:r>
              <w:rPr>
                <w:rFonts w:ascii="Times New Roman" w:hAnsi="Times New Roman"/>
                <w:color w:val="auto"/>
                <w:kern w:val="21"/>
                <w:sz w:val="24"/>
                <w:szCs w:val="24"/>
              </w:rPr>
              <w:t>)</w:t>
            </w:r>
            <w:r>
              <w:rPr>
                <w:rFonts w:hint="eastAsia" w:ascii="Times New Roman" w:hAnsi="Times New Roman" w:eastAsia="黑体"/>
                <w:color w:val="auto"/>
                <w:kern w:val="21"/>
                <w:sz w:val="24"/>
                <w:szCs w:val="24"/>
              </w:rPr>
              <w:t>算</w:t>
            </w:r>
          </w:p>
        </w:tc>
        <w:tc>
          <w:tcPr>
            <w:tcW w:w="3528" w:type="dxa"/>
            <w:gridSpan w:val="2"/>
            <w:vAlign w:val="center"/>
          </w:tcPr>
          <w:p>
            <w:pPr>
              <w:widowControl/>
              <w:spacing w:line="550" w:lineRule="exact"/>
              <w:jc w:val="lef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复垦总投资为</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万元</w:t>
            </w:r>
          </w:p>
        </w:tc>
        <w:tc>
          <w:tcPr>
            <w:tcW w:w="3675" w:type="dxa"/>
            <w:vAlign w:val="center"/>
          </w:tcPr>
          <w:p>
            <w:pPr>
              <w:widowControl/>
              <w:spacing w:line="550" w:lineRule="exact"/>
              <w:jc w:val="lef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单位面积投资估算</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92" w:type="dxa"/>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设施农用地复垦</w:t>
            </w:r>
          </w:p>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计划及主要措施</w:t>
            </w:r>
          </w:p>
        </w:tc>
        <w:tc>
          <w:tcPr>
            <w:tcW w:w="7203" w:type="dxa"/>
            <w:gridSpan w:val="3"/>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本次复垦施工期从</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lang w:val="en-US" w:eastAsia="zh-CN"/>
              </w:rPr>
              <w:t xml:space="preserve"> </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年</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月</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日至</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年</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月</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日，共</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月。</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主要复垦工作措施为：拆除地上临时建筑物</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平方米，拆除地下临时构筑物</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立方米，土地平整</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平方米，客土</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立方米，修筑沟渠</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米，修筑田间道路</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米，种植防护林</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株，其他</w:t>
            </w:r>
            <w:r>
              <w:rPr>
                <w:rFonts w:hint="eastAsia" w:ascii="仿宋_GB2312" w:hAnsi="Calibri" w:eastAsia="仿宋_GB2312"/>
                <w:color w:val="auto"/>
                <w:sz w:val="32"/>
                <w:szCs w:val="28"/>
                <w:u w:val="single"/>
              </w:rPr>
              <w:t xml:space="preserve">    </w:t>
            </w:r>
            <w:r>
              <w:rPr>
                <w:rFonts w:hint="eastAsia" w:ascii="仿宋_GB2312" w:hAnsi="仿宋_GB2312" w:eastAsia="仿宋_GB2312" w:cs="仿宋_GB2312"/>
                <w:color w:val="auto"/>
                <w:kern w:val="2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土地复垦</w:t>
            </w:r>
          </w:p>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义务人承诺</w:t>
            </w:r>
          </w:p>
        </w:tc>
        <w:tc>
          <w:tcPr>
            <w:tcW w:w="7203" w:type="dxa"/>
            <w:gridSpan w:val="3"/>
            <w:tcBorders>
              <w:top w:val="single" w:color="auto" w:sz="4" w:space="0"/>
              <w:left w:val="single" w:color="auto" w:sz="4" w:space="0"/>
              <w:bottom w:val="single" w:color="auto" w:sz="4" w:space="0"/>
              <w:right w:val="single" w:color="auto" w:sz="4" w:space="0"/>
            </w:tcBorders>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一、承诺事项</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1、严格按批准用途和范围使用设施农用地，限于自行使用，不擅自改变用途和扩大使用范围，不转让、抵押、交换、买卖、租赁或在设施农用地内进行违法活动，不损坏公共利益。</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2、设施农用地使用期满之日前3个月，如需要继续使用，及时申请办理设施农用地延期手续。若不需要继续使用，保证在使用期满之日6个月内恢复土地</w:t>
            </w:r>
            <w:r>
              <w:rPr>
                <w:rFonts w:hint="eastAsia" w:ascii="仿宋_GB2312" w:hAnsi="仿宋_GB2312" w:eastAsia="仿宋_GB2312" w:cs="仿宋_GB2312"/>
                <w:color w:val="auto"/>
                <w:kern w:val="21"/>
                <w:sz w:val="22"/>
                <w:szCs w:val="22"/>
                <w:lang w:eastAsia="zh-CN"/>
              </w:rPr>
              <w:t>原状</w:t>
            </w:r>
            <w:r>
              <w:rPr>
                <w:rFonts w:hint="eastAsia" w:ascii="仿宋_GB2312" w:hAnsi="仿宋_GB2312" w:eastAsia="仿宋_GB2312" w:cs="仿宋_GB2312"/>
                <w:color w:val="auto"/>
                <w:kern w:val="21"/>
                <w:sz w:val="22"/>
                <w:szCs w:val="22"/>
              </w:rPr>
              <w:t>，若涉及到种植的达到种植条件。</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3、严格按《土地管理法》、《土地复垦条例》、《土地复垦条例实施办法》等的有关规定，合法合理使用设施农用地，涉及违法用地的，承担相应的法律责任。</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二、承诺措施</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1、设施农用地使用期满后，承诺自行进行恢复土地</w:t>
            </w:r>
            <w:r>
              <w:rPr>
                <w:rFonts w:hint="eastAsia" w:ascii="仿宋_GB2312" w:hAnsi="仿宋_GB2312" w:eastAsia="仿宋_GB2312" w:cs="仿宋_GB2312"/>
                <w:color w:val="auto"/>
                <w:kern w:val="21"/>
                <w:sz w:val="22"/>
                <w:szCs w:val="22"/>
                <w:lang w:eastAsia="zh-CN"/>
              </w:rPr>
              <w:t>原状</w:t>
            </w:r>
            <w:r>
              <w:rPr>
                <w:rFonts w:hint="eastAsia" w:ascii="仿宋_GB2312" w:hAnsi="仿宋_GB2312" w:eastAsia="仿宋_GB2312" w:cs="仿宋_GB2312"/>
                <w:color w:val="auto"/>
                <w:kern w:val="21"/>
                <w:sz w:val="22"/>
                <w:szCs w:val="22"/>
              </w:rPr>
              <w:t>，未按规定复垦的，按违法用地及破坏耕地处置。</w:t>
            </w: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2、自觉配合执法部门检查，并接受社会监督，构成违法用地的，愿接受相应依法的处置和处罚。</w:t>
            </w:r>
          </w:p>
          <w:p>
            <w:pPr>
              <w:widowControl/>
              <w:spacing w:line="550" w:lineRule="exact"/>
              <w:rPr>
                <w:rFonts w:hint="eastAsia" w:ascii="仿宋_GB2312" w:hAnsi="仿宋_GB2312" w:eastAsia="仿宋_GB2312" w:cs="仿宋_GB2312"/>
                <w:color w:val="auto"/>
                <w:kern w:val="21"/>
                <w:sz w:val="22"/>
                <w:szCs w:val="22"/>
              </w:rPr>
            </w:pPr>
          </w:p>
          <w:p>
            <w:pPr>
              <w:widowControl/>
              <w:spacing w:line="550" w:lineRule="exact"/>
              <w:jc w:val="righ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承诺单位（承诺人）：</w:t>
            </w:r>
          </w:p>
          <w:p>
            <w:pPr>
              <w:widowControl/>
              <w:spacing w:line="550" w:lineRule="exact"/>
              <w:jc w:val="righ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年    月    日</w:t>
            </w:r>
          </w:p>
          <w:p>
            <w:pPr>
              <w:widowControl/>
              <w:spacing w:line="550" w:lineRule="exact"/>
              <w:rPr>
                <w:rFonts w:hint="eastAsia" w:ascii="仿宋_GB2312" w:hAnsi="仿宋_GB2312" w:eastAsia="仿宋_GB2312" w:cs="仿宋_GB2312"/>
                <w:color w:val="auto"/>
                <w:kern w:val="2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所有权人</w:t>
            </w:r>
          </w:p>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审核意见</w:t>
            </w:r>
          </w:p>
        </w:tc>
        <w:tc>
          <w:tcPr>
            <w:tcW w:w="7203" w:type="dxa"/>
            <w:gridSpan w:val="3"/>
            <w:tcBorders>
              <w:top w:val="single" w:color="auto" w:sz="4" w:space="0"/>
              <w:left w:val="single" w:color="auto" w:sz="4" w:space="0"/>
              <w:bottom w:val="single" w:color="auto" w:sz="4" w:space="0"/>
              <w:right w:val="single" w:color="auto" w:sz="4" w:space="0"/>
            </w:tcBorders>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 xml:space="preserve">集体经济组织法人代表或村民委员会主任签字：                </w:t>
            </w:r>
          </w:p>
          <w:p>
            <w:pPr>
              <w:widowControl/>
              <w:spacing w:line="550" w:lineRule="exact"/>
              <w:rPr>
                <w:rFonts w:hint="eastAsia" w:ascii="仿宋_GB2312" w:hAnsi="仿宋_GB2312" w:eastAsia="仿宋_GB2312" w:cs="仿宋_GB2312"/>
                <w:color w:val="auto"/>
                <w:kern w:val="21"/>
                <w:sz w:val="22"/>
                <w:szCs w:val="22"/>
              </w:rPr>
            </w:pP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农村集体经济组织或村民委员会签章</w:t>
            </w:r>
          </w:p>
          <w:p>
            <w:pPr>
              <w:widowControl/>
              <w:spacing w:line="550" w:lineRule="exact"/>
              <w:rPr>
                <w:rFonts w:hint="eastAsia" w:ascii="仿宋_GB2312" w:hAnsi="仿宋_GB2312" w:eastAsia="仿宋_GB2312" w:cs="仿宋_GB2312"/>
                <w:color w:val="auto"/>
                <w:kern w:val="21"/>
                <w:sz w:val="22"/>
                <w:szCs w:val="22"/>
              </w:rPr>
            </w:pPr>
          </w:p>
          <w:p>
            <w:pPr>
              <w:widowControl/>
              <w:spacing w:line="550" w:lineRule="exact"/>
              <w:jc w:val="righ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92" w:type="dxa"/>
            <w:tcBorders>
              <w:top w:val="single" w:color="auto" w:sz="4" w:space="0"/>
              <w:left w:val="single" w:color="auto" w:sz="4" w:space="0"/>
              <w:bottom w:val="single" w:color="auto" w:sz="4" w:space="0"/>
              <w:right w:val="single" w:color="auto" w:sz="4" w:space="0"/>
            </w:tcBorders>
            <w:vAlign w:val="center"/>
          </w:tcPr>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镇政府</w:t>
            </w:r>
          </w:p>
          <w:p>
            <w:pPr>
              <w:widowControl/>
              <w:spacing w:line="550" w:lineRule="exact"/>
              <w:jc w:val="center"/>
              <w:rPr>
                <w:rFonts w:ascii="Times New Roman" w:hAnsi="Times New Roman" w:eastAsia="黑体" w:cs="宋体"/>
                <w:color w:val="auto"/>
                <w:kern w:val="21"/>
                <w:sz w:val="24"/>
                <w:szCs w:val="24"/>
              </w:rPr>
            </w:pPr>
            <w:r>
              <w:rPr>
                <w:rFonts w:hint="eastAsia" w:ascii="Times New Roman" w:hAnsi="Times New Roman" w:eastAsia="黑体" w:cs="宋体"/>
                <w:color w:val="auto"/>
                <w:kern w:val="21"/>
                <w:sz w:val="24"/>
                <w:szCs w:val="24"/>
              </w:rPr>
              <w:t>审核意见</w:t>
            </w:r>
          </w:p>
        </w:tc>
        <w:tc>
          <w:tcPr>
            <w:tcW w:w="7203" w:type="dxa"/>
            <w:gridSpan w:val="3"/>
            <w:tcBorders>
              <w:top w:val="single" w:color="auto" w:sz="4" w:space="0"/>
              <w:left w:val="single" w:color="auto" w:sz="4" w:space="0"/>
              <w:bottom w:val="single" w:color="auto" w:sz="4" w:space="0"/>
              <w:right w:val="single" w:color="auto" w:sz="4" w:space="0"/>
            </w:tcBorders>
            <w:vAlign w:val="center"/>
          </w:tcPr>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 xml:space="preserve">分管领导签字：                      </w:t>
            </w:r>
          </w:p>
          <w:p>
            <w:pPr>
              <w:widowControl/>
              <w:spacing w:line="550" w:lineRule="exact"/>
              <w:rPr>
                <w:rFonts w:hint="eastAsia" w:ascii="仿宋_GB2312" w:hAnsi="仿宋_GB2312" w:eastAsia="仿宋_GB2312" w:cs="仿宋_GB2312"/>
                <w:color w:val="auto"/>
                <w:kern w:val="21"/>
                <w:sz w:val="22"/>
                <w:szCs w:val="22"/>
              </w:rPr>
            </w:pPr>
          </w:p>
          <w:p>
            <w:pPr>
              <w:widowControl/>
              <w:spacing w:line="55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镇政府签章</w:t>
            </w:r>
          </w:p>
          <w:p>
            <w:pPr>
              <w:widowControl/>
              <w:spacing w:line="550" w:lineRule="exact"/>
              <w:rPr>
                <w:rFonts w:hint="eastAsia" w:ascii="仿宋_GB2312" w:hAnsi="仿宋_GB2312" w:eastAsia="仿宋_GB2312" w:cs="仿宋_GB2312"/>
                <w:color w:val="auto"/>
                <w:kern w:val="21"/>
                <w:sz w:val="22"/>
                <w:szCs w:val="22"/>
              </w:rPr>
            </w:pPr>
          </w:p>
          <w:p>
            <w:pPr>
              <w:widowControl/>
              <w:spacing w:line="550" w:lineRule="exact"/>
              <w:jc w:val="righ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年    月    日</w:t>
            </w:r>
          </w:p>
        </w:tc>
      </w:tr>
    </w:tbl>
    <w:p>
      <w:pPr>
        <w:spacing w:line="58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填表说明：</w:t>
      </w:r>
    </w:p>
    <w:p>
      <w:pPr>
        <w:spacing w:line="58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1、本表仅适用于面积小于等于1公顷（15亩）的设施农用地的申报审批；</w:t>
      </w:r>
    </w:p>
    <w:p>
      <w:pPr>
        <w:spacing w:line="58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2、四至情况主要填写周边明显标的物，如河流、公路、相邻村/经济社名称等；</w:t>
      </w:r>
    </w:p>
    <w:p>
      <w:pPr>
        <w:spacing w:line="58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3、土地利用现状需要设施农用地所属镇级自然资源部门根据当地最新土地利用变更调查数据套取，地类参照《土地利用现状分类》（GB/T21010-2017）填写；</w:t>
      </w:r>
    </w:p>
    <w:p>
      <w:pPr>
        <w:spacing w:line="58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4、复垦方向应综合考虑土地利用现状、周边实地、当地土地利用总体规划、土地权属人意见等确定；</w:t>
      </w:r>
    </w:p>
    <w:p>
      <w:pPr>
        <w:spacing w:line="58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5、确定土地复垦费的数额，应当综合考虑损毁前的土地类型、实际损毁面积、损毁程度、复垦标准、复垦用途和完成复垦任务所需的工程量等因素。</w:t>
      </w:r>
    </w:p>
    <w:p>
      <w:pPr>
        <w:spacing w:line="580" w:lineRule="exact"/>
        <w:rPr>
          <w:rFonts w:hint="eastAsia" w:ascii="仿宋_GB2312" w:hAnsi="仿宋_GB2312" w:eastAsia="仿宋_GB2312" w:cs="仿宋_GB2312"/>
          <w:color w:val="auto"/>
          <w:kern w:val="21"/>
          <w:sz w:val="22"/>
          <w:szCs w:val="22"/>
        </w:rPr>
      </w:pPr>
      <w:r>
        <w:rPr>
          <w:rFonts w:hint="eastAsia" w:ascii="仿宋_GB2312" w:hAnsi="仿宋_GB2312" w:eastAsia="仿宋_GB2312" w:cs="仿宋_GB2312"/>
          <w:color w:val="auto"/>
          <w:kern w:val="21"/>
          <w:sz w:val="22"/>
          <w:szCs w:val="22"/>
        </w:rPr>
        <w:t>6、附图以最新的1:10000土地利用现状图为底图，采用红线圈划设施农用地范围，并由所属镇级自然资源部门盖章确认。</w:t>
      </w:r>
    </w:p>
    <w:p>
      <w:pPr>
        <w:spacing w:line="520" w:lineRule="exact"/>
        <w:jc w:val="left"/>
        <w:rPr>
          <w:rFonts w:ascii="仿宋_GB2312" w:hAnsi="宋体" w:eastAsia="仿宋_GB2312"/>
          <w:color w:val="auto"/>
          <w:sz w:val="32"/>
          <w:szCs w:val="32"/>
        </w:rPr>
      </w:pPr>
    </w:p>
    <w:p>
      <w:bookmarkStart w:id="0" w:name="_GoBack"/>
      <w:bookmarkEnd w:id="0"/>
    </w:p>
    <w:sectPr>
      <w:footerReference r:id="rId5" w:type="first"/>
      <w:footerReference r:id="rId3" w:type="default"/>
      <w:footerReference r:id="rId4" w:type="even"/>
      <w:pgSz w:w="11940" w:h="16780"/>
      <w:pgMar w:top="1582" w:right="2045" w:bottom="1409" w:left="1750" w:header="720" w:footer="8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auto"/>
      <w:ind w:right="151"/>
      <w:jc w:val="right"/>
    </w:pPr>
    <w:r>
      <w:rPr>
        <w:sz w:val="24"/>
      </w:rPr>
      <w:fldChar w:fldCharType="begin"/>
    </w:r>
    <w:r>
      <w:rPr>
        <w:sz w:val="24"/>
      </w:rPr>
      <w:instrText xml:space="preserve"> PAGE   \* MERGEFORMAT </w:instrText>
    </w:r>
    <w:r>
      <w:rPr>
        <w:sz w:val="24"/>
      </w:rPr>
      <w:fldChar w:fldCharType="separate"/>
    </w:r>
    <w:r>
      <w:rPr>
        <w:rFonts w:ascii="微软雅黑" w:hAnsi="微软雅黑" w:eastAsia="微软雅黑" w:cs="微软雅黑"/>
        <w:sz w:val="24"/>
      </w:rPr>
      <w:t>7</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auto"/>
      <w:ind w:left="108"/>
      <w:jc w:val="left"/>
    </w:pPr>
    <w:r>
      <w:rPr>
        <w:sz w:val="26"/>
      </w:rPr>
      <w:fldChar w:fldCharType="begin"/>
    </w:r>
    <w:r>
      <w:rPr>
        <w:sz w:val="26"/>
      </w:rPr>
      <w:instrText xml:space="preserve"> PAGE   \* MERGEFORMAT </w:instrText>
    </w:r>
    <w:r>
      <w:rPr>
        <w:sz w:val="26"/>
      </w:rPr>
      <w:fldChar w:fldCharType="separate"/>
    </w:r>
    <w:r>
      <w:rPr>
        <w:rFonts w:ascii="微软雅黑" w:hAnsi="微软雅黑" w:eastAsia="微软雅黑" w:cs="微软雅黑"/>
        <w:sz w:val="26"/>
      </w:rPr>
      <w:t>22</w:t>
    </w:r>
    <w:r>
      <w:rPr>
        <w:sz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auto"/>
      <w:ind w:right="151"/>
      <w:jc w:val="right"/>
    </w:pPr>
    <w:r>
      <w:rPr>
        <w:sz w:val="24"/>
      </w:rPr>
      <w:fldChar w:fldCharType="begin"/>
    </w:r>
    <w:r>
      <w:rPr>
        <w:sz w:val="24"/>
      </w:rPr>
      <w:instrText xml:space="preserve"> PAGE   \* MERGEFORMAT </w:instrText>
    </w:r>
    <w:r>
      <w:rPr>
        <w:sz w:val="24"/>
      </w:rPr>
      <w:fldChar w:fldCharType="separate"/>
    </w:r>
    <w:r>
      <w:rPr>
        <w:rFonts w:ascii="微软雅黑" w:hAnsi="微软雅黑" w:eastAsia="微软雅黑" w:cs="微软雅黑"/>
        <w:sz w:val="24"/>
      </w:rPr>
      <w:t>27</w:t>
    </w:r>
    <w:r>
      <w:rPr>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22899"/>
    <w:rsid w:val="4E622899"/>
    <w:rsid w:val="63544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2019-12-10T09:46:00Z</dcterms:created>
  <dc:creator>安诗芳</dc:creator>
  <cp:lastModifiedBy>安诗芳</cp:lastModifiedBy>
  <dcterms:modified xsi:type="dcterms:W3CDTF">2019-12-10T09:46:41Z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