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keepNext w:val="0"/>
        <w:keepLines w:val="0"/>
        <w:widowControl w:val="0"/>
        <w:suppressLineNumbers w:val="0"/>
        <w:spacing w:before="0" w:beforeAutospacing="0" w:after="0" w:afterAutospacing="0" w:line="540" w:lineRule="exact"/>
        <w:ind w:left="0" w:right="0"/>
        <w:jc w:val="center"/>
        <w:rPr>
          <w:rFonts w:hint="default" w:ascii="方正小标宋简体" w:hAnsi="宋体" w:eastAsia="方正小标宋简体" w:cs="宋体"/>
          <w:kern w:val="0"/>
          <w:sz w:val="44"/>
          <w:szCs w:val="44"/>
        </w:rPr>
      </w:pPr>
      <w:r>
        <w:rPr>
          <w:rFonts w:hint="default" w:ascii="方正小标宋简体" w:hAnsi="方正小标宋简体" w:eastAsia="方正小标宋简体" w:cs="方正小标宋简体"/>
          <w:kern w:val="0"/>
          <w:sz w:val="44"/>
          <w:szCs w:val="44"/>
          <w:lang w:val="en-US" w:eastAsia="zh-CN" w:bidi="ar"/>
        </w:rPr>
        <w:t>征地补偿安置方案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40" w:lineRule="exact"/>
        <w:ind w:left="0" w:right="0" w:firstLine="640" w:firstLineChars="200"/>
        <w:jc w:val="both"/>
        <w:rPr>
          <w:rFonts w:hint="eastAsia" w:asci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 xml:space="preserve">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40" w:lineRule="exact"/>
        <w:ind w:left="0" w:right="0"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</w:rPr>
      </w:pPr>
      <w:r>
        <w:rPr>
          <w:rFonts w:hint="eastAsia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>为实施广州市增城区石滩镇建设规划，完善城市功能，改善城市环境，促进经济、文化发展，广州市增城区人民政府拟征收该区增江街四丰村牛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"/>
        </w:rPr>
        <w:t>一、牛二、牛三股份经济合作社共有的集体土地1.5926公顷。根据《中华人民共和国土地管理法》第二条、第四十五条、第四十七条有关规定精神、《广东省实施&lt;中华人民共和国土地管理法&gt;办法》第三十条等规定，结合增城区的征收农用地区片综合地价和实际情况，拟定了征地补偿安置方案，具体如下：</w:t>
      </w:r>
    </w:p>
    <w:p>
      <w:pPr>
        <w:keepNext w:val="0"/>
        <w:keepLines w:val="0"/>
        <w:widowControl w:val="0"/>
        <w:numPr>
          <w:ilvl w:val="0"/>
          <w:numId w:val="1"/>
        </w:numPr>
        <w:suppressLineNumbers w:val="0"/>
        <w:spacing w:before="0" w:beforeAutospacing="0" w:after="0" w:afterAutospacing="0" w:line="540" w:lineRule="exact"/>
        <w:ind w:left="1280" w:right="0" w:hanging="720"/>
        <w:jc w:val="both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"/>
        </w:rPr>
        <w:t>征收集体土地情况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40" w:lineRule="exact"/>
        <w:ind w:left="0" w:right="0"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color w:val="000000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2"/>
          <w:sz w:val="32"/>
          <w:szCs w:val="32"/>
          <w:lang w:val="en-US" w:eastAsia="zh-CN" w:bidi="ar"/>
        </w:rPr>
        <w:t>征收集体土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"/>
        </w:rPr>
        <w:t>地总面积1.5926公顷，征收集体土地的地类为农用地1.5907公顷（园地1.4938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2"/>
          <w:sz w:val="32"/>
          <w:szCs w:val="32"/>
          <w:lang w:val="en-US" w:eastAsia="zh-CN" w:bidi="ar"/>
        </w:rPr>
        <w:t>公顷、林地0.0969公顷），未利用地0.0019公顷。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40" w:lineRule="exact"/>
        <w:ind w:left="0" w:right="0"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color w:val="000000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2"/>
          <w:sz w:val="32"/>
          <w:szCs w:val="32"/>
          <w:lang w:val="en-US" w:eastAsia="zh-CN" w:bidi="ar"/>
        </w:rPr>
        <w:t>二、征地补偿标准</w:t>
      </w:r>
    </w:p>
    <w:p>
      <w:pPr>
        <w:keepNext w:val="0"/>
        <w:keepLines w:val="0"/>
        <w:widowControl w:val="0"/>
        <w:numPr>
          <w:ilvl w:val="0"/>
          <w:numId w:val="2"/>
        </w:numPr>
        <w:suppressLineNumbers w:val="0"/>
        <w:spacing w:before="0" w:beforeAutospacing="0" w:after="0" w:afterAutospacing="0" w:line="540" w:lineRule="exact"/>
        <w:ind w:left="0" w:right="0"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"/>
        </w:rPr>
        <w:t>土地补偿和安置补助。根据已经实施的区片综合地价，征收上述1.5926公顷集体土地的区片综合地价标准为165万元/公顷（土地补偿费标准为82.5万元/公顷、安置补助费标准为82.5万元/公顷），土地补偿总费用为262.7790万元。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lang w:val="en-US" w:eastAsia="zh-CN" w:bidi="ar"/>
        </w:rPr>
        <w:t>（二）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"/>
        </w:rPr>
        <w:t>青苗补偿费93.1671万元。由广州市增城区增江街四丰村牛一、牛二、牛三股份经济合作社共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2"/>
          <w:sz w:val="32"/>
          <w:szCs w:val="32"/>
          <w:lang w:val="en-US" w:eastAsia="zh-CN" w:bidi="ar"/>
        </w:rPr>
        <w:t>同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"/>
        </w:rPr>
        <w:t>转付土地承包者。青苗暂按此补偿，待日后清点确认后，按政府有关规定进行补偿。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 w:bidi="ar"/>
        </w:rPr>
        <w:t>三、安置措施情况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627" w:firstLineChars="196"/>
        <w:jc w:val="left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"/>
        </w:rPr>
        <w:t>为妥善安置被征地农民，切实解决被征地农民的生产生活出路，在保证货币安置落实的同时，增城区政府将根据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 w:bidi="ar"/>
        </w:rPr>
        <w:t>穗府办规〔2018〕17号文件的规定，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"/>
        </w:rPr>
        <w:t>按实际征地面积的10%（即0.1593公顷）计提留用地, 该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2"/>
          <w:sz w:val="32"/>
          <w:szCs w:val="32"/>
          <w:lang w:val="en-US" w:eastAsia="zh-CN" w:bidi="ar"/>
        </w:rPr>
        <w:t>留用地拟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"/>
        </w:rPr>
        <w:t>在广州市增城区2022年度第十二批次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城镇建设用地中落实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 w:bidi="ar"/>
        </w:rPr>
        <w:t>；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"/>
        </w:rPr>
        <w:t>给上述被征地农民落实基本养老保障和培训就业等社会保障措施，确保被征地农民的原有生活水平不降低，长远生计有保障，具体将按省的征地社会保障实施方案办理。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640"/>
        <w:jc w:val="both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"/>
        </w:rPr>
        <w:t xml:space="preserve">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仿宋_GB2312" w:hAnsi="仿宋_GB2312" w:eastAsia="仿宋_GB2312" w:cs="仿宋_GB2312"/>
          <w:b w:val="0"/>
          <w:bCs w:val="0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"/>
        </w:rPr>
        <w:t xml:space="preserve"> </w:t>
      </w:r>
    </w:p>
    <w:p>
      <w:pPr>
        <w:rPr>
          <w:rFonts w:hint="eastAsia" w:ascii="仿宋_GB2312" w:hAnsi="仿宋_GB2312" w:eastAsia="仿宋_GB2312" w:cs="仿宋_GB2312"/>
          <w:b w:val="0"/>
          <w:bCs w:val="0"/>
        </w:rPr>
      </w:pPr>
    </w:p>
    <w:p>
      <w:pPr>
        <w:rPr>
          <w:rFonts w:hint="eastAsia" w:ascii="仿宋_GB2312" w:hAnsi="仿宋_GB2312" w:eastAsia="仿宋_GB2312" w:cs="仿宋_GB2312"/>
          <w:b w:val="0"/>
          <w:bCs w:val="0"/>
        </w:rPr>
      </w:pPr>
    </w:p>
    <w:p>
      <w:pPr>
        <w:rPr>
          <w:rFonts w:hint="eastAsia" w:ascii="仿宋_GB2312" w:hAnsi="仿宋_GB2312" w:eastAsia="仿宋_GB2312" w:cs="仿宋_GB2312"/>
          <w:b w:val="0"/>
          <w:bCs w:val="0"/>
        </w:rPr>
      </w:pPr>
    </w:p>
    <w:p>
      <w:pPr>
        <w:rPr>
          <w:rFonts w:hint="eastAsia" w:ascii="仿宋_GB2312" w:hAnsi="仿宋_GB2312" w:eastAsia="仿宋_GB2312" w:cs="仿宋_GB2312"/>
          <w:b w:val="0"/>
          <w:bCs w:val="0"/>
        </w:rPr>
      </w:pPr>
    </w:p>
    <w:p>
      <w:pPr>
        <w:rPr>
          <w:rFonts w:hint="eastAsia" w:ascii="仿宋_GB2312" w:hAnsi="仿宋_GB2312" w:eastAsia="仿宋_GB2312" w:cs="仿宋_GB2312"/>
          <w:b w:val="0"/>
          <w:bCs w:val="0"/>
        </w:rPr>
      </w:pPr>
    </w:p>
    <w:p>
      <w:pPr>
        <w:rPr>
          <w:rFonts w:hint="eastAsia" w:ascii="仿宋_GB2312" w:hAnsi="仿宋_GB2312" w:eastAsia="仿宋_GB2312" w:cs="仿宋_GB2312"/>
          <w:b w:val="0"/>
          <w:bCs w:val="0"/>
        </w:rPr>
      </w:pPr>
    </w:p>
    <w:p>
      <w:pPr>
        <w:rPr>
          <w:rFonts w:hint="eastAsia" w:ascii="仿宋_GB2312" w:hAnsi="仿宋_GB2312" w:eastAsia="仿宋_GB2312" w:cs="仿宋_GB2312"/>
          <w:b w:val="0"/>
          <w:bCs w:val="0"/>
        </w:rPr>
      </w:pPr>
    </w:p>
    <w:p>
      <w:pPr>
        <w:rPr>
          <w:rFonts w:hint="eastAsia" w:ascii="仿宋_GB2312" w:hAnsi="仿宋_GB2312" w:eastAsia="仿宋_GB2312" w:cs="仿宋_GB2312"/>
          <w:b w:val="0"/>
          <w:bCs w:val="0"/>
        </w:rPr>
      </w:pPr>
    </w:p>
    <w:p>
      <w:pPr>
        <w:rPr>
          <w:rFonts w:hint="eastAsia" w:ascii="仿宋_GB2312" w:hAnsi="仿宋_GB2312" w:eastAsia="仿宋_GB2312" w:cs="仿宋_GB2312"/>
          <w:b w:val="0"/>
          <w:bCs w:val="0"/>
        </w:rPr>
      </w:pPr>
    </w:p>
    <w:p>
      <w:pPr>
        <w:rPr>
          <w:rFonts w:hint="eastAsia" w:ascii="仿宋_GB2312" w:hAnsi="仿宋_GB2312" w:eastAsia="仿宋_GB2312" w:cs="仿宋_GB2312"/>
          <w:b w:val="0"/>
          <w:bCs w:val="0"/>
        </w:rPr>
      </w:pPr>
    </w:p>
    <w:p>
      <w:pPr>
        <w:rPr>
          <w:rFonts w:hint="eastAsia" w:ascii="仿宋_GB2312" w:hAnsi="仿宋_GB2312" w:eastAsia="仿宋_GB2312" w:cs="仿宋_GB2312"/>
          <w:b w:val="0"/>
          <w:bCs w:val="0"/>
        </w:rPr>
      </w:pPr>
    </w:p>
    <w:p/>
    <w:p/>
    <w:p/>
    <w:p/>
    <w:p/>
    <w:p/>
    <w:p>
      <w:pPr>
        <w:keepNext w:val="0"/>
        <w:keepLines w:val="0"/>
        <w:widowControl w:val="0"/>
        <w:suppressLineNumbers w:val="0"/>
        <w:spacing w:before="0" w:beforeAutospacing="0" w:after="0" w:afterAutospacing="0" w:line="540" w:lineRule="exact"/>
        <w:ind w:left="0" w:right="0"/>
        <w:jc w:val="center"/>
        <w:rPr>
          <w:rFonts w:hint="default" w:ascii="方正小标宋简体" w:hAnsi="方正小标宋简体" w:eastAsia="方正小标宋简体" w:cs="方正小标宋简体"/>
          <w:kern w:val="0"/>
          <w:sz w:val="44"/>
          <w:szCs w:val="44"/>
          <w:lang w:val="en-US" w:eastAsia="zh-CN" w:bidi="ar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40" w:lineRule="exact"/>
        <w:ind w:left="0" w:right="0"/>
        <w:jc w:val="center"/>
        <w:rPr>
          <w:rFonts w:hint="default" w:ascii="方正小标宋简体" w:hAnsi="方正小标宋简体" w:eastAsia="方正小标宋简体" w:cs="方正小标宋简体"/>
          <w:kern w:val="0"/>
          <w:sz w:val="44"/>
          <w:szCs w:val="44"/>
          <w:lang w:val="en-US" w:eastAsia="zh-CN" w:bidi="ar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40" w:lineRule="exact"/>
        <w:ind w:left="0" w:right="0"/>
        <w:jc w:val="center"/>
        <w:rPr>
          <w:rFonts w:hint="default" w:ascii="方正小标宋简体" w:hAnsi="方正小标宋简体" w:eastAsia="方正小标宋简体" w:cs="方正小标宋简体"/>
          <w:kern w:val="0"/>
          <w:sz w:val="44"/>
          <w:szCs w:val="44"/>
          <w:lang w:val="en-US" w:eastAsia="zh-CN" w:bidi="ar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40" w:lineRule="exact"/>
        <w:ind w:left="0" w:right="0"/>
        <w:jc w:val="center"/>
        <w:rPr>
          <w:rFonts w:hint="default" w:ascii="方正小标宋简体" w:hAnsi="方正小标宋简体" w:eastAsia="方正小标宋简体" w:cs="方正小标宋简体"/>
          <w:kern w:val="0"/>
          <w:sz w:val="44"/>
          <w:szCs w:val="44"/>
          <w:lang w:val="en-US" w:eastAsia="zh-CN" w:bidi="ar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40" w:lineRule="exact"/>
        <w:ind w:left="0" w:right="0"/>
        <w:jc w:val="center"/>
        <w:rPr>
          <w:rFonts w:hint="default" w:ascii="方正小标宋简体" w:hAnsi="方正小标宋简体" w:eastAsia="方正小标宋简体" w:cs="方正小标宋简体"/>
          <w:kern w:val="0"/>
          <w:sz w:val="44"/>
          <w:szCs w:val="44"/>
          <w:lang w:val="en-US" w:eastAsia="zh-CN" w:bidi="ar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40" w:lineRule="exact"/>
        <w:ind w:left="0" w:right="0"/>
        <w:jc w:val="center"/>
        <w:rPr>
          <w:rFonts w:hint="default" w:ascii="方正小标宋简体" w:hAnsi="方正小标宋简体" w:eastAsia="方正小标宋简体" w:cs="方正小标宋简体"/>
          <w:kern w:val="0"/>
          <w:sz w:val="44"/>
          <w:szCs w:val="44"/>
          <w:lang w:val="en-US" w:eastAsia="zh-CN" w:bidi="ar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40" w:lineRule="exact"/>
        <w:ind w:left="0" w:right="0"/>
        <w:jc w:val="center"/>
        <w:rPr>
          <w:rFonts w:hint="default" w:ascii="方正小标宋简体" w:hAnsi="方正小标宋简体" w:eastAsia="方正小标宋简体" w:cs="方正小标宋简体"/>
          <w:kern w:val="0"/>
          <w:sz w:val="44"/>
          <w:szCs w:val="44"/>
          <w:lang w:val="en-US" w:eastAsia="zh-CN" w:bidi="ar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40" w:lineRule="exact"/>
        <w:ind w:left="0" w:right="0"/>
        <w:jc w:val="center"/>
        <w:rPr>
          <w:rFonts w:hint="default" w:ascii="方正小标宋简体" w:hAnsi="方正小标宋简体" w:eastAsia="方正小标宋简体" w:cs="方正小标宋简体"/>
          <w:kern w:val="0"/>
          <w:sz w:val="44"/>
          <w:szCs w:val="44"/>
          <w:lang w:val="en-US" w:eastAsia="zh-CN" w:bidi="ar"/>
        </w:rPr>
      </w:pPr>
      <w:r>
        <w:rPr>
          <w:rFonts w:hint="default" w:ascii="方正小标宋简体" w:hAnsi="方正小标宋简体" w:eastAsia="方正小标宋简体" w:cs="方正小标宋简体"/>
          <w:kern w:val="0"/>
          <w:sz w:val="44"/>
          <w:szCs w:val="44"/>
          <w:lang w:val="en-US" w:eastAsia="zh-CN" w:bidi="ar"/>
        </w:rPr>
        <w:t>征地补偿安置方案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40" w:lineRule="exact"/>
        <w:ind w:left="0" w:right="0"/>
        <w:jc w:val="center"/>
        <w:rPr>
          <w:rFonts w:hint="default" w:ascii="方正小标宋简体" w:hAnsi="方正小标宋简体" w:eastAsia="方正小标宋简体" w:cs="方正小标宋简体"/>
          <w:kern w:val="0"/>
          <w:sz w:val="44"/>
          <w:szCs w:val="44"/>
          <w:lang w:val="en-US" w:eastAsia="zh-CN" w:bidi="ar"/>
        </w:rPr>
      </w:pPr>
    </w:p>
    <w:p/>
    <w:p>
      <w:pPr>
        <w:keepNext w:val="0"/>
        <w:keepLines w:val="0"/>
        <w:widowControl w:val="0"/>
        <w:suppressLineNumbers w:val="0"/>
        <w:spacing w:before="0" w:beforeAutospacing="0" w:after="0" w:afterAutospacing="0" w:line="540" w:lineRule="exact"/>
        <w:ind w:left="0" w:right="0" w:firstLine="640" w:firstLineChars="200"/>
        <w:jc w:val="both"/>
        <w:rPr>
          <w:rFonts w:hint="eastAsia" w:ascii="仿宋_GB2312" w:hAns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>为实施广州市增城区石滩镇建设规划，完善城市功能，改善城市环境，促进经济、文化发展，广州市增城区人民政府拟征收该区石滩镇岗尾村股份经济联合社、牛潭、岗岭、沙塘股份经济合作社的集体土地5.1184公顷。根据《中华人民共和国土地管理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  <w:t>法》第二条、第四十五条、第四十七条有关规定精神、《广东省实施&lt;中华人民共和国土地管理法&gt;办法》第三十条等规定，结合增城区的征收农用地区片综合地价和实际情况，拟定了征地补偿安置方案，具体如下：</w:t>
      </w:r>
    </w:p>
    <w:p>
      <w:pPr>
        <w:keepNext w:val="0"/>
        <w:keepLines w:val="0"/>
        <w:widowControl w:val="0"/>
        <w:numPr>
          <w:ilvl w:val="0"/>
          <w:numId w:val="3"/>
        </w:numPr>
        <w:suppressLineNumbers w:val="0"/>
        <w:spacing w:before="0" w:beforeAutospacing="0" w:after="0" w:afterAutospacing="0" w:line="540" w:lineRule="exact"/>
        <w:ind w:left="1280" w:right="0" w:hanging="720"/>
        <w:jc w:val="both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"/>
        </w:rPr>
        <w:t>征收集体土地情况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40" w:lineRule="exact"/>
        <w:ind w:left="0" w:right="0" w:firstLine="640" w:firstLineChars="200"/>
        <w:jc w:val="both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"/>
        </w:rPr>
        <w:t>征收集体土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  <w:t>地总面积5.1184公顷，征收集体土地的地类为农用地5.1184公顷（耕地0.0063公顷、园地3.8318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"/>
        </w:rPr>
        <w:t>公顷、林地1.2796公顷、其它农用地0.0007公顷）。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40" w:lineRule="exact"/>
        <w:ind w:left="0" w:right="0"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color w:val="000000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2"/>
          <w:sz w:val="32"/>
          <w:szCs w:val="32"/>
          <w:lang w:val="en-US" w:eastAsia="zh-CN" w:bidi="ar"/>
        </w:rPr>
        <w:t>二、征地补偿标准</w:t>
      </w:r>
    </w:p>
    <w:p>
      <w:pPr>
        <w:keepNext w:val="0"/>
        <w:keepLines w:val="0"/>
        <w:widowControl w:val="0"/>
        <w:numPr>
          <w:ilvl w:val="0"/>
          <w:numId w:val="4"/>
        </w:numPr>
        <w:suppressLineNumbers w:val="0"/>
        <w:spacing w:before="0" w:beforeAutospacing="0" w:after="0" w:afterAutospacing="0" w:line="540" w:lineRule="exact"/>
        <w:ind w:left="0" w:right="0" w:firstLine="640" w:firstLineChars="200"/>
        <w:jc w:val="both"/>
        <w:rPr>
          <w:rFonts w:hint="eastAsia" w:ascii="仿宋_GB2312" w:hAns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  <w:t>土地补偿和安置补助。根据已经实施的区片综合地价，征收上述5.1184公顷集体土地的区片综合地价标准为165万元/公顷（土地补偿费标准为82.5万元/公顷、安置补助费标准为82.5万元/公顷），土地补偿总费用为844.5360万元。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640" w:firstLineChars="200"/>
        <w:jc w:val="both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（二）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  <w:t>青苗补偿费299.4264万元。由广州市增城区石滩镇岗尾村股份经济联合社、牛潭、岗岭、沙塘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"/>
        </w:rPr>
        <w:t>股份经济合作社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  <w:t>转付土地承包者。青苗暂按此补偿，待日后清点确认后，按政府有关规定进行补偿。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640" w:firstLineChars="200"/>
        <w:jc w:val="both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三、安置措施情况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627" w:firstLineChars="196"/>
        <w:jc w:val="left"/>
        <w:rPr>
          <w:rFonts w:hint="eastAsia" w:ascii="仿宋_GB2312" w:hAns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  <w:t>为妥善安置被征地农民，切实解决被征地农民的生产生活出路，在保证货币安置落实的同时，增城区政府将根据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穗府办规〔2018〕17号文件的规定，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  <w:t>按实际征地面积的10%（即0.5118公顷）计提留用地, 该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"/>
        </w:rPr>
        <w:t>留用地拟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  <w:t>在广州市增城区2022年度第十二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  <w:t>批次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城镇建设用地中落实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；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  <w:t>给上述被征地农民落实基本养老保障和培训就业等社会保障措施，确保被征地农民的原有生活水平不降低，长远生计有保障，具体将按省的征地社会保障实施方案办理。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640" w:firstLineChars="200"/>
        <w:jc w:val="both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"/>
        </w:rPr>
        <w:t>四、根据《中华人民共和国土地管理法实施条例》第二十五条的规定，当事人对本征地补偿安置标准有争议，不影响本方案的组织实施。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640"/>
        <w:jc w:val="both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  <w:t xml:space="preserve">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640"/>
        <w:jc w:val="both"/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 xml:space="preserve"> </w:t>
      </w:r>
    </w:p>
    <w:p/>
    <w:sectPr>
      <w:pgSz w:w="11906" w:h="16838"/>
      <w:pgMar w:top="1440" w:right="1361" w:bottom="1440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汉仪书宋二KW">
    <w:altName w:val="宋体"/>
    <w:panose1 w:val="00020600040101010101"/>
    <w:charset w:val="86"/>
    <w:family w:val="auto"/>
    <w:pitch w:val="default"/>
    <w:sig w:usb0="00000000" w:usb1="00000000" w:usb2="00000016" w:usb3="00000000" w:csb0="00040000" w:csb1="00000000"/>
  </w:font>
  <w:font w:name="汉仪中黑KW">
    <w:altName w:val="黑体"/>
    <w:panose1 w:val="00020600040101010101"/>
    <w:charset w:val="86"/>
    <w:family w:val="auto"/>
    <w:pitch w:val="default"/>
    <w:sig w:usb0="00000000" w:usb1="00000000" w:usb2="00000016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汉仪仿宋KW">
    <w:altName w:val="仿宋"/>
    <w:panose1 w:val="00020600040101010101"/>
    <w:charset w:val="86"/>
    <w:family w:val="auto"/>
    <w:pitch w:val="default"/>
    <w:sig w:usb0="00000000" w:usb1="00000000" w:usb2="00000016" w:usb3="00000000" w:csb0="0004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B9E8623"/>
    <w:multiLevelType w:val="multilevel"/>
    <w:tmpl w:val="FB9E8623"/>
    <w:lvl w:ilvl="0" w:tentative="0">
      <w:start w:val="1"/>
      <w:numFmt w:val="chineseCounting"/>
      <w:suff w:val="nothing"/>
      <w:lvlText w:val="（%1）"/>
      <w:lvlJc w:val="left"/>
      <w:pPr>
        <w:ind w:left="0" w:firstLine="0"/>
      </w:pPr>
      <w:rPr>
        <w:rFonts w:hint="default" w:ascii="Times New Roman" w:hAnsi="Times New Roman" w:cs="Times New Roman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firstLine="65176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firstLine="65176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firstLine="65176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firstLine="65176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firstLine="65176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firstLine="65176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firstLine="65176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firstLine="65176"/>
      </w:pPr>
    </w:lvl>
  </w:abstractNum>
  <w:abstractNum w:abstractNumId="1">
    <w:nsid w:val="FD7AEBF7"/>
    <w:multiLevelType w:val="multilevel"/>
    <w:tmpl w:val="FD7AEBF7"/>
    <w:lvl w:ilvl="0" w:tentative="0">
      <w:start w:val="1"/>
      <w:numFmt w:val="chineseCounting"/>
      <w:suff w:val="nothing"/>
      <w:lvlText w:val="（%1）"/>
      <w:lvlJc w:val="left"/>
      <w:pPr>
        <w:ind w:left="0" w:firstLine="0"/>
      </w:pPr>
      <w:rPr>
        <w:rFonts w:hint="default" w:ascii="Times New Roman" w:hAnsi="Times New Roman" w:cs="Times New Roman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firstLine="65176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firstLine="65176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firstLine="65176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firstLine="65176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firstLine="65176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firstLine="65176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firstLine="65176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firstLine="65176"/>
      </w:pPr>
    </w:lvl>
  </w:abstractNum>
  <w:abstractNum w:abstractNumId="2">
    <w:nsid w:val="6FBEC22F"/>
    <w:multiLevelType w:val="multilevel"/>
    <w:tmpl w:val="6FBEC22F"/>
    <w:lvl w:ilvl="0" w:tentative="0">
      <w:start w:val="1"/>
      <w:numFmt w:val="japaneseCounting"/>
      <w:lvlText w:val="%1、"/>
      <w:lvlJc w:val="left"/>
      <w:pPr>
        <w:tabs>
          <w:tab w:val="left" w:pos="1280"/>
        </w:tabs>
        <w:ind w:left="1280" w:hanging="720"/>
      </w:pPr>
      <w:rPr>
        <w:rFonts w:hint="default" w:ascii="Times New Roman" w:hAnsi="Times New Roman" w:cs="Times New Roman"/>
      </w:rPr>
    </w:lvl>
    <w:lvl w:ilvl="1" w:tentative="0">
      <w:start w:val="1"/>
      <w:numFmt w:val="lowerLetter"/>
      <w:lvlText w:val="%2)"/>
      <w:lvlJc w:val="left"/>
      <w:pPr>
        <w:tabs>
          <w:tab w:val="left" w:pos="1400"/>
        </w:tabs>
        <w:ind w:left="1400" w:hanging="420"/>
      </w:pPr>
      <w:rPr>
        <w:rFonts w:hint="default" w:ascii="Times New Roman" w:hAnsi="Times New Roman" w:cs="Times New Roman"/>
      </w:rPr>
    </w:lvl>
    <w:lvl w:ilvl="2" w:tentative="0">
      <w:start w:val="1"/>
      <w:numFmt w:val="lowerRoman"/>
      <w:lvlText w:val="%3."/>
      <w:lvlJc w:val="right"/>
      <w:pPr>
        <w:tabs>
          <w:tab w:val="left" w:pos="1820"/>
        </w:tabs>
        <w:ind w:left="1820" w:hanging="420"/>
      </w:pPr>
      <w:rPr>
        <w:rFonts w:hint="default" w:ascii="Times New Roman" w:hAnsi="Times New Roman" w:cs="Times New Roman"/>
      </w:rPr>
    </w:lvl>
    <w:lvl w:ilvl="3" w:tentative="0">
      <w:start w:val="1"/>
      <w:numFmt w:val="decimal"/>
      <w:lvlText w:val="%4."/>
      <w:lvlJc w:val="left"/>
      <w:pPr>
        <w:tabs>
          <w:tab w:val="left" w:pos="2240"/>
        </w:tabs>
        <w:ind w:left="2240" w:hanging="420"/>
      </w:pPr>
      <w:rPr>
        <w:rFonts w:hint="default" w:ascii="Times New Roman" w:hAnsi="Times New Roman" w:cs="Times New Roman"/>
      </w:rPr>
    </w:lvl>
    <w:lvl w:ilvl="4" w:tentative="0">
      <w:start w:val="1"/>
      <w:numFmt w:val="lowerLetter"/>
      <w:lvlText w:val="%5)"/>
      <w:lvlJc w:val="left"/>
      <w:pPr>
        <w:tabs>
          <w:tab w:val="left" w:pos="2660"/>
        </w:tabs>
        <w:ind w:left="2660" w:hanging="420"/>
      </w:pPr>
      <w:rPr>
        <w:rFonts w:hint="default" w:ascii="Times New Roman" w:hAnsi="Times New Roman" w:cs="Times New Roman"/>
      </w:rPr>
    </w:lvl>
    <w:lvl w:ilvl="5" w:tentative="0">
      <w:start w:val="1"/>
      <w:numFmt w:val="lowerRoman"/>
      <w:lvlText w:val="%6."/>
      <w:lvlJc w:val="right"/>
      <w:pPr>
        <w:tabs>
          <w:tab w:val="left" w:pos="3080"/>
        </w:tabs>
        <w:ind w:left="3080" w:hanging="420"/>
      </w:pPr>
      <w:rPr>
        <w:rFonts w:hint="default" w:ascii="Times New Roman" w:hAnsi="Times New Roman" w:cs="Times New Roman"/>
      </w:rPr>
    </w:lvl>
    <w:lvl w:ilvl="6" w:tentative="0">
      <w:start w:val="1"/>
      <w:numFmt w:val="decimal"/>
      <w:lvlText w:val="%7."/>
      <w:lvlJc w:val="left"/>
      <w:pPr>
        <w:tabs>
          <w:tab w:val="left" w:pos="3500"/>
        </w:tabs>
        <w:ind w:left="3500" w:hanging="420"/>
      </w:pPr>
      <w:rPr>
        <w:rFonts w:hint="default" w:ascii="Times New Roman" w:hAnsi="Times New Roman" w:cs="Times New Roman"/>
      </w:rPr>
    </w:lvl>
    <w:lvl w:ilvl="7" w:tentative="0">
      <w:start w:val="1"/>
      <w:numFmt w:val="lowerLetter"/>
      <w:lvlText w:val="%8)"/>
      <w:lvlJc w:val="left"/>
      <w:pPr>
        <w:tabs>
          <w:tab w:val="left" w:pos="3920"/>
        </w:tabs>
        <w:ind w:left="3920" w:hanging="420"/>
      </w:pPr>
      <w:rPr>
        <w:rFonts w:hint="default" w:ascii="Times New Roman" w:hAnsi="Times New Roman" w:cs="Times New Roman"/>
      </w:rPr>
    </w:lvl>
    <w:lvl w:ilvl="8" w:tentative="0">
      <w:start w:val="1"/>
      <w:numFmt w:val="lowerRoman"/>
      <w:lvlText w:val="%9."/>
      <w:lvlJc w:val="right"/>
      <w:pPr>
        <w:tabs>
          <w:tab w:val="left" w:pos="4340"/>
        </w:tabs>
        <w:ind w:left="4340" w:hanging="420"/>
      </w:pPr>
      <w:rPr>
        <w:rFonts w:hint="default" w:ascii="Times New Roman" w:hAnsi="Times New Roman" w:cs="Times New Roman"/>
      </w:rPr>
    </w:lvl>
  </w:abstractNum>
  <w:abstractNum w:abstractNumId="3">
    <w:nsid w:val="7BF6713E"/>
    <w:multiLevelType w:val="multilevel"/>
    <w:tmpl w:val="7BF6713E"/>
    <w:lvl w:ilvl="0" w:tentative="0">
      <w:start w:val="1"/>
      <w:numFmt w:val="japaneseCounting"/>
      <w:lvlText w:val="%1、"/>
      <w:lvlJc w:val="left"/>
      <w:pPr>
        <w:tabs>
          <w:tab w:val="left" w:pos="1280"/>
        </w:tabs>
        <w:ind w:left="1280" w:hanging="720"/>
      </w:pPr>
      <w:rPr>
        <w:rFonts w:hint="default" w:ascii="Times New Roman" w:hAnsi="Times New Roman" w:cs="Times New Roman"/>
      </w:rPr>
    </w:lvl>
    <w:lvl w:ilvl="1" w:tentative="0">
      <w:start w:val="1"/>
      <w:numFmt w:val="lowerLetter"/>
      <w:lvlText w:val="%2)"/>
      <w:lvlJc w:val="left"/>
      <w:pPr>
        <w:tabs>
          <w:tab w:val="left" w:pos="1400"/>
        </w:tabs>
        <w:ind w:left="1400" w:hanging="420"/>
      </w:pPr>
      <w:rPr>
        <w:rFonts w:hint="default" w:ascii="Times New Roman" w:hAnsi="Times New Roman" w:cs="Times New Roman"/>
      </w:rPr>
    </w:lvl>
    <w:lvl w:ilvl="2" w:tentative="0">
      <w:start w:val="1"/>
      <w:numFmt w:val="lowerRoman"/>
      <w:lvlText w:val="%3."/>
      <w:lvlJc w:val="right"/>
      <w:pPr>
        <w:tabs>
          <w:tab w:val="left" w:pos="1820"/>
        </w:tabs>
        <w:ind w:left="1820" w:hanging="420"/>
      </w:pPr>
      <w:rPr>
        <w:rFonts w:hint="default" w:ascii="Times New Roman" w:hAnsi="Times New Roman" w:cs="Times New Roman"/>
      </w:rPr>
    </w:lvl>
    <w:lvl w:ilvl="3" w:tentative="0">
      <w:start w:val="1"/>
      <w:numFmt w:val="decimal"/>
      <w:lvlText w:val="%4."/>
      <w:lvlJc w:val="left"/>
      <w:pPr>
        <w:tabs>
          <w:tab w:val="left" w:pos="2240"/>
        </w:tabs>
        <w:ind w:left="2240" w:hanging="420"/>
      </w:pPr>
      <w:rPr>
        <w:rFonts w:hint="default" w:ascii="Times New Roman" w:hAnsi="Times New Roman" w:cs="Times New Roman"/>
      </w:rPr>
    </w:lvl>
    <w:lvl w:ilvl="4" w:tentative="0">
      <w:start w:val="1"/>
      <w:numFmt w:val="lowerLetter"/>
      <w:lvlText w:val="%5)"/>
      <w:lvlJc w:val="left"/>
      <w:pPr>
        <w:tabs>
          <w:tab w:val="left" w:pos="2660"/>
        </w:tabs>
        <w:ind w:left="2660" w:hanging="420"/>
      </w:pPr>
      <w:rPr>
        <w:rFonts w:hint="default" w:ascii="Times New Roman" w:hAnsi="Times New Roman" w:cs="Times New Roman"/>
      </w:rPr>
    </w:lvl>
    <w:lvl w:ilvl="5" w:tentative="0">
      <w:start w:val="1"/>
      <w:numFmt w:val="lowerRoman"/>
      <w:lvlText w:val="%6."/>
      <w:lvlJc w:val="right"/>
      <w:pPr>
        <w:tabs>
          <w:tab w:val="left" w:pos="3080"/>
        </w:tabs>
        <w:ind w:left="3080" w:hanging="420"/>
      </w:pPr>
      <w:rPr>
        <w:rFonts w:hint="default" w:ascii="Times New Roman" w:hAnsi="Times New Roman" w:cs="Times New Roman"/>
      </w:rPr>
    </w:lvl>
    <w:lvl w:ilvl="6" w:tentative="0">
      <w:start w:val="1"/>
      <w:numFmt w:val="decimal"/>
      <w:lvlText w:val="%7."/>
      <w:lvlJc w:val="left"/>
      <w:pPr>
        <w:tabs>
          <w:tab w:val="left" w:pos="3500"/>
        </w:tabs>
        <w:ind w:left="3500" w:hanging="420"/>
      </w:pPr>
      <w:rPr>
        <w:rFonts w:hint="default" w:ascii="Times New Roman" w:hAnsi="Times New Roman" w:cs="Times New Roman"/>
      </w:rPr>
    </w:lvl>
    <w:lvl w:ilvl="7" w:tentative="0">
      <w:start w:val="1"/>
      <w:numFmt w:val="lowerLetter"/>
      <w:lvlText w:val="%8)"/>
      <w:lvlJc w:val="left"/>
      <w:pPr>
        <w:tabs>
          <w:tab w:val="left" w:pos="3920"/>
        </w:tabs>
        <w:ind w:left="3920" w:hanging="420"/>
      </w:pPr>
      <w:rPr>
        <w:rFonts w:hint="default" w:ascii="Times New Roman" w:hAnsi="Times New Roman" w:cs="Times New Roman"/>
      </w:rPr>
    </w:lvl>
    <w:lvl w:ilvl="8" w:tentative="0">
      <w:start w:val="1"/>
      <w:numFmt w:val="lowerRoman"/>
      <w:lvlText w:val="%9."/>
      <w:lvlJc w:val="right"/>
      <w:pPr>
        <w:tabs>
          <w:tab w:val="left" w:pos="4340"/>
        </w:tabs>
        <w:ind w:left="4340" w:hanging="420"/>
      </w:pPr>
      <w:rPr>
        <w:rFonts w:hint="default" w:ascii="Times New Roman" w:hAnsi="Times New Roman" w:cs="Times New Roman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26ED"/>
    <w:rsid w:val="000E3242"/>
    <w:rsid w:val="000F03B9"/>
    <w:rsid w:val="0013590A"/>
    <w:rsid w:val="001446CE"/>
    <w:rsid w:val="001754D1"/>
    <w:rsid w:val="001F60FD"/>
    <w:rsid w:val="00273BF6"/>
    <w:rsid w:val="00295693"/>
    <w:rsid w:val="00313F3B"/>
    <w:rsid w:val="00374CBA"/>
    <w:rsid w:val="003A6F87"/>
    <w:rsid w:val="003B5761"/>
    <w:rsid w:val="003B6C90"/>
    <w:rsid w:val="003C4331"/>
    <w:rsid w:val="00405559"/>
    <w:rsid w:val="00411EC5"/>
    <w:rsid w:val="00446591"/>
    <w:rsid w:val="00476E8C"/>
    <w:rsid w:val="006874A1"/>
    <w:rsid w:val="00697DDA"/>
    <w:rsid w:val="006E26ED"/>
    <w:rsid w:val="00705016"/>
    <w:rsid w:val="00714771"/>
    <w:rsid w:val="00751C3C"/>
    <w:rsid w:val="00755A33"/>
    <w:rsid w:val="007A1BED"/>
    <w:rsid w:val="007B3FE4"/>
    <w:rsid w:val="007C324B"/>
    <w:rsid w:val="00853710"/>
    <w:rsid w:val="00866469"/>
    <w:rsid w:val="008A070D"/>
    <w:rsid w:val="00B21D0E"/>
    <w:rsid w:val="00B87CE9"/>
    <w:rsid w:val="00CA2FE8"/>
    <w:rsid w:val="00DF3232"/>
    <w:rsid w:val="00EE3A9F"/>
    <w:rsid w:val="00F53AA0"/>
    <w:rsid w:val="00FA1396"/>
    <w:rsid w:val="00FB6774"/>
    <w:rsid w:val="034D0840"/>
    <w:rsid w:val="0359155B"/>
    <w:rsid w:val="5AEB727F"/>
    <w:rsid w:val="7D94491F"/>
    <w:rsid w:val="7E3F491E"/>
    <w:rsid w:val="7F5EAA5C"/>
    <w:rsid w:val="D7DE2F7E"/>
    <w:rsid w:val="FEAF0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semiHidden="0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uiPriority w:val="99"/>
    <w:pPr>
      <w:keepNext w:val="0"/>
      <w:keepLines w:val="0"/>
      <w:widowControl w:val="0"/>
      <w:suppressLineNumbers w:val="0"/>
      <w:spacing w:before="0" w:beforeAutospacing="0" w:after="0" w:afterAutospacing="0"/>
      <w:ind w:left="0" w:right="0" w:firstLine="420" w:firstLineChars="200"/>
      <w:jc w:val="both"/>
    </w:pPr>
    <w:rPr>
      <w:rFonts w:hint="default" w:ascii="Times New Roman" w:hAnsi="Times New Roman" w:eastAsia="仿宋_GB2312" w:cs="Times New Roman"/>
      <w:kern w:val="2"/>
      <w:sz w:val="24"/>
      <w:szCs w:val="24"/>
      <w:lang w:val="en-US" w:eastAsia="zh-CN" w:bidi="ar"/>
    </w:rPr>
  </w:style>
  <w:style w:type="paragraph" w:styleId="3">
    <w:name w:val="Normal (Web)"/>
    <w:basedOn w:val="1"/>
    <w:unhideWhenUsed/>
    <w:uiPriority w:val="99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Company>Microsoft</Company>
  <Pages>1</Pages>
  <Words>0</Words>
  <Characters>0</Characters>
  <Lines>1</Lines>
  <Paragraphs>1</Paragraphs>
  <ScaleCrop>false</ScaleCrop>
  <LinksUpToDate>false</LinksUpToDate>
  <CharactersWithSpaces>0</CharactersWithSpaces>
  <Application>WPS Office_10.8.0.6253_F1E327BC-269C-435d-A152-05C5408002CA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2018-12-25T16:33:00Z</dcterms:created>
  <dc:creator>测试2</dc:creator>
  <cp:lastModifiedBy>陈佩珊</cp:lastModifiedBy>
  <dcterms:modified xsi:type="dcterms:W3CDTF">2023-08-17T08:44:01Z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2052-10.8.0.6253</vt:lpwstr>
  </property>
</Properties>
</file>