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p>
    <w:p>
      <w:pPr>
        <w:pStyle w:val="2"/>
        <w:spacing w:before="0" w:after="0" w:line="240" w:lineRule="auto"/>
        <w:rPr>
          <w:rFonts w:hint="default"/>
        </w:rPr>
      </w:pPr>
    </w:p>
    <w:p>
      <w:pPr>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highlight w:val="none"/>
          <w:lang w:val="en-US" w:eastAsia="zh-CN"/>
        </w:rPr>
        <w:t>广州市花都区2022年度第四十批次城镇建设用地（广清城际轨道交通项目</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sz w:val="44"/>
          <w:szCs w:val="44"/>
          <w:highlight w:val="none"/>
          <w:lang w:val="en-US" w:eastAsia="zh-CN"/>
        </w:rPr>
        <w:t>花都段</w:t>
      </w:r>
      <w:r>
        <w:rPr>
          <w:rFonts w:hint="eastAsia" w:ascii="方正小标宋简体" w:hAnsi="方正小标宋简体" w:eastAsia="方正小标宋简体" w:cs="方正小标宋简体"/>
          <w:color w:val="auto"/>
          <w:sz w:val="44"/>
          <w:szCs w:val="4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sz w:val="44"/>
          <w:szCs w:val="44"/>
          <w:highlight w:val="none"/>
          <w:lang w:val="en-US" w:eastAsia="zh-CN"/>
        </w:rPr>
      </w:pPr>
      <w:r>
        <w:rPr>
          <w:rFonts w:hint="eastAsia" w:eastAsia="方正小标宋简体" w:cs="Times New Roman"/>
          <w:sz w:val="44"/>
          <w:szCs w:val="44"/>
          <w:highlight w:val="none"/>
          <w:lang w:val="en-US" w:eastAsia="zh-CN"/>
        </w:rPr>
        <w:t>安置区工程</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w:t>
      </w:r>
      <w:r>
        <w:rPr>
          <w:rFonts w:hint="eastAsia" w:eastAsia="方正小标宋简体" w:cs="Times New Roman"/>
          <w:sz w:val="44"/>
          <w:szCs w:val="44"/>
          <w:highlight w:val="none"/>
          <w:lang w:val="en-US" w:eastAsia="zh-CN"/>
        </w:rPr>
        <w:t>狮岭镇前进安置区配套道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eastAsia="方正小标宋简体" w:cs="Times New Roman"/>
          <w:sz w:val="44"/>
          <w:szCs w:val="44"/>
          <w:highlight w:val="none"/>
          <w:lang w:val="en-US" w:eastAsia="zh-CN"/>
        </w:rPr>
        <w:t>路</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w:t>
      </w:r>
      <w:r>
        <w:rPr>
          <w:rFonts w:hint="eastAsia" w:eastAsia="方正小标宋简体" w:cs="Times New Roman"/>
          <w:sz w:val="44"/>
          <w:szCs w:val="44"/>
          <w:highlight w:val="none"/>
          <w:lang w:val="en-US" w:eastAsia="zh-CN"/>
        </w:rPr>
        <w:t>）</w:t>
      </w:r>
      <w:r>
        <w:rPr>
          <w:rFonts w:hint="default" w:ascii="Times New Roman" w:hAnsi="Times New Roman" w:eastAsia="方正小标宋简体" w:cs="Times New Roman"/>
          <w:sz w:val="44"/>
          <w:szCs w:val="44"/>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highlight w:val="none"/>
          <w:lang w:val="en-US" w:eastAsia="zh-CN"/>
        </w:rPr>
        <w:t>狮岭镇</w:t>
      </w:r>
      <w:r>
        <w:rPr>
          <w:rFonts w:hint="default" w:ascii="Times New Roman" w:hAnsi="Times New Roman" w:eastAsia="仿宋_GB2312" w:cs="Times New Roman"/>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hint="default" w:ascii="Times New Roman" w:hAnsi="Times New Roman" w:eastAsia="仿宋_GB2312" w:cs="Times New Roman"/>
          <w:sz w:val="32"/>
        </w:rPr>
        <w:t>拟征收</w:t>
      </w:r>
      <w:r>
        <w:rPr>
          <w:rFonts w:hint="eastAsia" w:eastAsia="仿宋_GB2312" w:cs="Times New Roman"/>
          <w:sz w:val="32"/>
          <w:highlight w:val="none"/>
          <w:lang w:val="en-US" w:eastAsia="zh-CN"/>
        </w:rPr>
        <w:t>该区狮岭镇前进联珠坑经济合作社、前进石西经济合作社、前进新谢屋经济合作社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0.2616</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rPr>
        <w:t>。根据《中华人民共和国土地管理法》第二条、第四十五条、第四十七条，《中华人民共和国土地管理法实施条例》第二十七条、第二十八条，以及《广东省土地管理条例》第三十条等规定，</w:t>
      </w:r>
      <w:r>
        <w:rPr>
          <w:rFonts w:hint="default" w:ascii="Times New Roman" w:hAnsi="Times New Roman" w:eastAsia="仿宋_GB2312" w:cs="Times New Roman"/>
          <w:sz w:val="32"/>
          <w:szCs w:val="32"/>
        </w:rPr>
        <w:t>结合</w:t>
      </w:r>
      <w:r>
        <w:rPr>
          <w:rFonts w:hint="eastAsia" w:eastAsia="仿宋_GB2312" w:cs="Times New Roman"/>
          <w:sz w:val="32"/>
          <w:szCs w:val="32"/>
          <w:lang w:val="en-US" w:eastAsia="zh-CN"/>
        </w:rPr>
        <w:t>花都</w:t>
      </w:r>
      <w:r>
        <w:rPr>
          <w:rFonts w:hint="default" w:ascii="Times New Roman" w:hAnsi="Times New Roman" w:eastAsia="仿宋_GB2312" w:cs="Times New Roman"/>
          <w:sz w:val="32"/>
          <w:szCs w:val="32"/>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rPr>
        <w:t>一、</w:t>
      </w:r>
      <w:r>
        <w:rPr>
          <w:rFonts w:hint="eastAsia" w:eastAsia="黑体" w:cs="Times New Roman"/>
          <w:sz w:val="32"/>
          <w:lang w:val="en-US" w:eastAsia="zh-CN"/>
        </w:rPr>
        <w:t>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highlight w:val="none"/>
          <w:lang w:val="en-US" w:eastAsia="zh-CN"/>
        </w:rPr>
      </w:pPr>
      <w:r>
        <w:rPr>
          <w:rFonts w:hint="eastAsia" w:eastAsia="仿宋_GB2312" w:cs="Times New Roman"/>
          <w:sz w:val="32"/>
          <w:lang w:val="en-US" w:eastAsia="zh-CN"/>
        </w:rPr>
        <w:t>拟征收土地位于广州市</w:t>
      </w:r>
      <w:r>
        <w:rPr>
          <w:rFonts w:hint="default" w:ascii="Times New Roman" w:hAnsi="Times New Roman" w:eastAsia="仿宋_GB2312" w:cs="Times New Roman"/>
          <w:sz w:val="32"/>
          <w:highlight w:val="none"/>
        </w:rPr>
        <w:t>花都区</w:t>
      </w:r>
      <w:r>
        <w:rPr>
          <w:rFonts w:hint="eastAsia" w:eastAsia="仿宋_GB2312" w:cs="Times New Roman"/>
          <w:sz w:val="32"/>
          <w:highlight w:val="none"/>
          <w:lang w:val="en-US" w:eastAsia="zh-CN"/>
        </w:rPr>
        <w:t>狮岭镇前进联珠坑经济合作社、前进石西经济合作社、前进新谢屋经济合作社范围内。</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rPr>
        <w:t>二、</w:t>
      </w:r>
      <w:r>
        <w:rPr>
          <w:rFonts w:hint="eastAsia" w:eastAsia="黑体" w:cs="Times New Roman"/>
          <w:sz w:val="32"/>
          <w:lang w:val="en-US" w:eastAsia="zh-CN"/>
        </w:rPr>
        <w:t>征收目的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根据</w:t>
      </w:r>
      <w:r>
        <w:rPr>
          <w:rFonts w:eastAsia="仿宋_GB2312"/>
          <w:sz w:val="32"/>
        </w:rPr>
        <w:t>《中华人民共和国土地管理法》第四十五条的规定，本次征收土地目的</w:t>
      </w:r>
      <w:r>
        <w:rPr>
          <w:rFonts w:hint="eastAsia" w:eastAsia="仿宋_GB2312"/>
          <w:color w:val="auto"/>
          <w:sz w:val="32"/>
          <w:lang w:eastAsia="zh-CN"/>
        </w:rPr>
        <w:t>为了公共利益的需要，</w:t>
      </w:r>
      <w:r>
        <w:rPr>
          <w:rFonts w:hint="eastAsia" w:eastAsia="仿宋_GB2312"/>
          <w:color w:val="auto"/>
          <w:sz w:val="32"/>
          <w:highlight w:val="none"/>
          <w:lang w:eastAsia="zh-CN"/>
        </w:rPr>
        <w:t>由政府组织实施的</w:t>
      </w:r>
      <w:r>
        <w:rPr>
          <w:rFonts w:hint="eastAsia" w:ascii="Times New Roman" w:hAnsi="Times New Roman" w:eastAsia="仿宋_GB2312"/>
          <w:b w:val="0"/>
          <w:i w:val="0"/>
          <w:color w:val="auto"/>
          <w:sz w:val="32"/>
          <w:highlight w:val="none"/>
        </w:rPr>
        <w:t>能源、交通、水利、通信、邮政等基础设施建设</w:t>
      </w:r>
      <w:r>
        <w:rPr>
          <w:rFonts w:hint="eastAsia" w:eastAsia="仿宋_GB2312"/>
          <w:color w:val="auto"/>
          <w:sz w:val="32"/>
          <w:highlight w:val="none"/>
          <w:lang w:eastAsia="zh-CN"/>
        </w:rPr>
        <w:t>需要用地</w:t>
      </w:r>
      <w:r>
        <w:rPr>
          <w:rFonts w:hint="eastAsia" w:eastAsia="仿宋_GB2312"/>
          <w:color w:val="auto"/>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rPr>
        <w:t>三、</w:t>
      </w:r>
      <w:r>
        <w:rPr>
          <w:rFonts w:hint="eastAsia" w:eastAsia="黑体" w:cs="Times New Roman"/>
          <w:sz w:val="32"/>
          <w:lang w:val="en-US" w:eastAsia="zh-CN"/>
        </w:rPr>
        <w:t>土地现状</w:t>
      </w:r>
    </w:p>
    <w:p>
      <w:pPr>
        <w:spacing w:line="560" w:lineRule="exact"/>
        <w:ind w:firstLine="640" w:firstLineChars="200"/>
        <w:rPr>
          <w:rFonts w:hint="eastAsia" w:eastAsia="仿宋_GB2312"/>
          <w:sz w:val="32"/>
          <w:lang w:eastAsia="zh-CN"/>
        </w:rPr>
      </w:pPr>
      <w:r>
        <w:rPr>
          <w:rFonts w:eastAsia="仿宋_GB2312"/>
          <w:sz w:val="32"/>
        </w:rPr>
        <w:t>根据拟征收土地现状调查结果，拟征收土地现状为</w:t>
      </w:r>
      <w:r>
        <w:rPr>
          <w:rFonts w:hint="eastAsia"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rPr>
      </w:pPr>
      <w:r>
        <w:rPr>
          <w:rFonts w:hint="eastAsia" w:eastAsia="仿宋_GB2312"/>
          <w:sz w:val="32"/>
        </w:rPr>
        <w:t>拟征收</w:t>
      </w:r>
      <w:r>
        <w:rPr>
          <w:rFonts w:hint="eastAsia" w:eastAsia="仿宋_GB2312"/>
          <w:color w:val="auto"/>
          <w:sz w:val="32"/>
        </w:rPr>
        <w:t>广州市花都区</w:t>
      </w:r>
      <w:r>
        <w:rPr>
          <w:rFonts w:hint="eastAsia" w:eastAsia="仿宋_GB2312"/>
          <w:color w:val="auto"/>
          <w:sz w:val="32"/>
          <w:lang w:val="en-US" w:eastAsia="zh-CN"/>
        </w:rPr>
        <w:t>狮岭镇</w:t>
      </w:r>
      <w:r>
        <w:rPr>
          <w:rFonts w:hint="eastAsia" w:eastAsia="仿宋_GB2312" w:cs="Times New Roman"/>
          <w:sz w:val="32"/>
          <w:highlight w:val="none"/>
          <w:lang w:val="en-US" w:eastAsia="zh-CN"/>
        </w:rPr>
        <w:t>前进联珠坑经济合作社、前进石西经济合作社、前进新谢屋经济合作社</w:t>
      </w:r>
      <w:r>
        <w:rPr>
          <w:rFonts w:hint="eastAsia" w:eastAsia="仿宋_GB2312"/>
          <w:color w:val="auto"/>
          <w:sz w:val="32"/>
          <w:lang w:val="en-US" w:eastAsia="zh-CN"/>
        </w:rPr>
        <w:t>属下的集体所有土地0.2616公顷</w:t>
      </w:r>
      <w:r>
        <w:rPr>
          <w:rFonts w:eastAsia="仿宋_GB2312"/>
          <w:sz w:val="32"/>
        </w:rPr>
        <w:t>（</w:t>
      </w:r>
      <w:r>
        <w:rPr>
          <w:rFonts w:hint="eastAsia" w:eastAsia="仿宋_GB2312"/>
          <w:sz w:val="32"/>
          <w:lang w:val="en-US" w:eastAsia="zh-CN"/>
        </w:rPr>
        <w:t>3.9240</w:t>
      </w:r>
      <w:r>
        <w:rPr>
          <w:rFonts w:eastAsia="仿宋_GB2312"/>
          <w:sz w:val="32"/>
        </w:rPr>
        <w:t>亩）。其中农用地</w:t>
      </w:r>
      <w:r>
        <w:rPr>
          <w:rFonts w:hint="eastAsia" w:eastAsia="仿宋_GB2312"/>
          <w:sz w:val="32"/>
          <w:lang w:val="en-US" w:eastAsia="zh-CN"/>
        </w:rPr>
        <w:t>0.2272</w:t>
      </w:r>
      <w:r>
        <w:rPr>
          <w:rFonts w:hint="eastAsia" w:eastAsia="仿宋_GB2312"/>
          <w:sz w:val="32"/>
        </w:rPr>
        <w:t>公顷</w:t>
      </w:r>
      <w:r>
        <w:rPr>
          <w:rFonts w:eastAsia="仿宋_GB2312"/>
          <w:sz w:val="32"/>
        </w:rPr>
        <w:t>（</w:t>
      </w:r>
      <w:r>
        <w:rPr>
          <w:rFonts w:hint="eastAsia" w:eastAsia="仿宋_GB2312"/>
          <w:sz w:val="32"/>
          <w:lang w:val="en-US" w:eastAsia="zh-CN"/>
        </w:rPr>
        <w:t>3.4080</w:t>
      </w:r>
      <w:r>
        <w:rPr>
          <w:rFonts w:eastAsia="仿宋_GB2312"/>
          <w:sz w:val="32"/>
        </w:rPr>
        <w:t>亩），</w:t>
      </w:r>
      <w:r>
        <w:rPr>
          <w:rFonts w:hint="eastAsia" w:eastAsia="仿宋_GB2312"/>
          <w:sz w:val="32"/>
          <w:lang w:val="en-US" w:eastAsia="zh-CN"/>
        </w:rPr>
        <w:t>不涉及耕地</w:t>
      </w:r>
      <w:r>
        <w:rPr>
          <w:rFonts w:hint="eastAsia" w:eastAsia="仿宋_GB2312"/>
          <w:sz w:val="32"/>
        </w:rPr>
        <w:t>；</w:t>
      </w:r>
      <w:r>
        <w:rPr>
          <w:rFonts w:eastAsia="仿宋_GB2312"/>
          <w:sz w:val="32"/>
        </w:rPr>
        <w:t>建设用地</w:t>
      </w:r>
      <w:r>
        <w:rPr>
          <w:rFonts w:hint="eastAsia" w:eastAsia="仿宋_GB2312"/>
          <w:sz w:val="32"/>
          <w:lang w:val="en-US" w:eastAsia="zh-CN"/>
        </w:rPr>
        <w:t>0.0344</w:t>
      </w:r>
      <w:r>
        <w:rPr>
          <w:rFonts w:hint="eastAsia" w:eastAsia="仿宋_GB2312"/>
          <w:sz w:val="32"/>
        </w:rPr>
        <w:t>公顷</w:t>
      </w:r>
      <w:r>
        <w:rPr>
          <w:rFonts w:eastAsia="仿宋_GB2312"/>
          <w:sz w:val="32"/>
        </w:rPr>
        <w:t>（</w:t>
      </w:r>
      <w:r>
        <w:rPr>
          <w:rFonts w:hint="eastAsia" w:eastAsia="仿宋_GB2312"/>
          <w:sz w:val="32"/>
          <w:lang w:val="en-US" w:eastAsia="zh-CN"/>
        </w:rPr>
        <w:t>0.5160</w:t>
      </w:r>
      <w:r>
        <w:rPr>
          <w:rFonts w:eastAsia="仿宋_GB2312"/>
          <w:sz w:val="32"/>
        </w:rPr>
        <w:t>亩）</w:t>
      </w:r>
      <w:r>
        <w:rPr>
          <w:rFonts w:hint="eastAsia" w:eastAsia="仿宋_GB2312"/>
          <w:sz w:val="32"/>
          <w:lang w:eastAsia="zh-CN"/>
        </w:rPr>
        <w:t>；</w:t>
      </w:r>
      <w:r>
        <w:rPr>
          <w:rFonts w:hint="eastAsia" w:eastAsia="仿宋_GB2312"/>
          <w:sz w:val="32"/>
        </w:rPr>
        <w:t>不涉及</w:t>
      </w:r>
      <w:r>
        <w:rPr>
          <w:rFonts w:eastAsia="仿宋_GB2312"/>
          <w:sz w:val="32"/>
        </w:rPr>
        <w:t>未利用地</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
      </w:pPr>
      <w:r>
        <w:rPr>
          <w:rFonts w:hint="eastAsia" w:eastAsia="黑体" w:cs="Times New Roman"/>
          <w:sz w:val="32"/>
          <w:lang w:val="en-US" w:eastAsia="zh-CN"/>
        </w:rPr>
        <w:t>四</w:t>
      </w:r>
      <w:r>
        <w:rPr>
          <w:rFonts w:hint="default" w:ascii="Times New Roman" w:hAnsi="Times New Roman" w:eastAsia="黑体" w:cs="Times New Roman"/>
          <w:sz w:val="32"/>
        </w:rPr>
        <w:t>、</w:t>
      </w:r>
      <w:r>
        <w:rPr>
          <w:rFonts w:hint="eastAsia" w:eastAsia="黑体" w:cs="Times New Roman"/>
          <w:sz w:val="32"/>
          <w:lang w:val="en-US" w:eastAsia="zh-CN"/>
        </w:rPr>
        <w:t>补偿方式和标准</w:t>
      </w:r>
    </w:p>
    <w:p>
      <w:pPr>
        <w:spacing w:line="560" w:lineRule="exact"/>
        <w:ind w:firstLine="640" w:firstLineChars="200"/>
        <w:rPr>
          <w:rFonts w:eastAsia="仿宋_GB2312"/>
          <w:sz w:val="32"/>
        </w:rPr>
      </w:pPr>
      <w:r>
        <w:rPr>
          <w:rFonts w:eastAsia="仿宋_GB2312"/>
          <w:sz w:val="32"/>
        </w:rPr>
        <w:t>（一）土地补偿费和安置补助费标准。</w:t>
      </w:r>
    </w:p>
    <w:p>
      <w:pPr>
        <w:spacing w:line="560" w:lineRule="exact"/>
        <w:ind w:firstLine="640" w:firstLineChars="200"/>
        <w:rPr>
          <w:rFonts w:hint="default" w:eastAsia="仿宋_GB2312"/>
          <w:sz w:val="32"/>
          <w:lang w:val="en-US" w:eastAsia="zh-CN"/>
        </w:rPr>
      </w:pPr>
      <w:r>
        <w:rPr>
          <w:rFonts w:hint="eastAsia" w:eastAsia="仿宋_GB2312"/>
          <w:sz w:val="32"/>
          <w:lang w:val="en-US" w:eastAsia="zh-CN"/>
        </w:rPr>
        <w:t>根据</w:t>
      </w:r>
      <w:ins w:id="0" w:author="陈湘鹏" w:date="2023-08-11T15:40:10Z">
        <w:r>
          <w:rPr>
            <w:rFonts w:hint="eastAsia" w:eastAsia="仿宋_GB2312"/>
            <w:color w:val="auto"/>
            <w:sz w:val="32"/>
          </w:rPr>
          <w:t>《</w:t>
        </w:r>
      </w:ins>
      <w:r>
        <w:rPr>
          <w:rFonts w:hint="eastAsia" w:eastAsia="仿宋_GB2312"/>
          <w:color w:val="auto"/>
          <w:sz w:val="32"/>
        </w:rPr>
        <w:t>中华人民共和国土地管理法》《广东省土地管理条例》等规定，</w:t>
      </w:r>
      <w:r>
        <w:rPr>
          <w:rFonts w:hint="eastAsia" w:eastAsia="仿宋_GB2312"/>
          <w:sz w:val="32"/>
          <w:lang w:val="en-US" w:eastAsia="zh-CN"/>
        </w:rPr>
        <w:t>并结合</w:t>
      </w:r>
      <w:r>
        <w:rPr>
          <w:rFonts w:hint="eastAsia" w:eastAsia="仿宋_GB2312"/>
          <w:color w:val="auto"/>
          <w:sz w:val="32"/>
        </w:rPr>
        <w:t>《广州市人民政府关于公布实施征收农用地区片综合地价的公告》</w:t>
      </w:r>
      <w:r>
        <w:rPr>
          <w:rFonts w:eastAsia="仿宋_GB2312"/>
          <w:sz w:val="32"/>
        </w:rPr>
        <w:t>，</w:t>
      </w:r>
      <w:r>
        <w:rPr>
          <w:rFonts w:hint="eastAsia" w:eastAsia="仿宋_GB2312"/>
          <w:sz w:val="32"/>
          <w:lang w:val="en-US" w:eastAsia="zh-CN"/>
        </w:rPr>
        <w:t>征收集体农用地按195</w:t>
      </w:r>
      <w:r>
        <w:rPr>
          <w:rFonts w:hint="default" w:ascii="Times New Roman" w:hAnsi="Times New Roman" w:eastAsia="仿宋_GB2312" w:cs="Times New Roman"/>
          <w:sz w:val="32"/>
          <w:szCs w:val="32"/>
          <w:highlight w:val="none"/>
        </w:rPr>
        <w:t>万元/公顷补偿</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其中，土地补偿费97.5</w:t>
      </w:r>
      <w:r>
        <w:rPr>
          <w:rFonts w:hint="default"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安置补助费</w:t>
      </w:r>
      <w:r>
        <w:rPr>
          <w:rFonts w:hint="eastAsia" w:ascii="Times New Roman" w:hAnsi="Times New Roman" w:eastAsia="仿宋_GB2312" w:cs="Times New Roman"/>
          <w:sz w:val="32"/>
          <w:szCs w:val="32"/>
          <w:highlight w:val="none"/>
          <w:lang w:val="en-US" w:eastAsia="zh-CN"/>
        </w:rPr>
        <w:t>97.5</w:t>
      </w:r>
      <w:r>
        <w:rPr>
          <w:rFonts w:hint="default"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建设用地和未利用地按195万元/公顷的标准补偿。</w:t>
      </w:r>
      <w:bookmarkStart w:id="0" w:name="_GoBack"/>
      <w:bookmarkEnd w:id="0"/>
    </w:p>
    <w:p>
      <w:pPr>
        <w:spacing w:line="560" w:lineRule="exact"/>
        <w:ind w:firstLine="640" w:firstLineChars="200"/>
        <w:rPr>
          <w:rFonts w:hint="eastAsia" w:eastAsia="仿宋_GB2312"/>
          <w:sz w:val="32"/>
          <w:lang w:eastAsia="zh-CN"/>
        </w:rPr>
      </w:pPr>
      <w:r>
        <w:rPr>
          <w:rFonts w:eastAsia="仿宋_GB2312"/>
          <w:sz w:val="32"/>
        </w:rPr>
        <w:t>（二）农村村民住宅补偿</w:t>
      </w:r>
      <w:r>
        <w:rPr>
          <w:rFonts w:hint="eastAsia" w:eastAsia="仿宋_GB2312"/>
          <w:sz w:val="32"/>
          <w:lang w:eastAsia="zh-CN"/>
        </w:rPr>
        <w:t>。</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 xml:space="preserve">。 </w:t>
      </w:r>
    </w:p>
    <w:p>
      <w:pPr>
        <w:spacing w:line="560" w:lineRule="exact"/>
        <w:ind w:firstLine="640" w:firstLineChars="200"/>
        <w:rPr>
          <w:rFonts w:hint="eastAsia" w:eastAsia="仿宋_GB2312"/>
          <w:sz w:val="32"/>
          <w:lang w:eastAsia="zh-CN"/>
        </w:rPr>
      </w:pPr>
      <w:r>
        <w:rPr>
          <w:rFonts w:eastAsia="仿宋_GB2312"/>
          <w:sz w:val="32"/>
        </w:rPr>
        <w:t>（三）青苗及其他地上附着物补偿</w:t>
      </w:r>
      <w:r>
        <w:rPr>
          <w:rFonts w:hint="eastAsia" w:eastAsia="仿宋_GB2312"/>
          <w:sz w:val="32"/>
          <w:lang w:eastAsia="zh-CN"/>
        </w:rPr>
        <w:t>。</w:t>
      </w:r>
    </w:p>
    <w:p>
      <w:pPr>
        <w:spacing w:line="560" w:lineRule="exact"/>
        <w:ind w:firstLine="640" w:firstLineChars="200"/>
        <w:rPr>
          <w:rFonts w:eastAsia="仿宋_GB2312"/>
          <w:sz w:val="32"/>
        </w:rPr>
      </w:pPr>
      <w:r>
        <w:rPr>
          <w:rFonts w:eastAsia="仿宋_GB2312"/>
          <w:sz w:val="32"/>
        </w:rPr>
        <w:t>青苗补偿费及地上附着物补偿费等其他补偿费用</w:t>
      </w:r>
      <w:r>
        <w:rPr>
          <w:rFonts w:hint="eastAsia" w:eastAsia="仿宋_GB2312"/>
          <w:sz w:val="32"/>
          <w:lang w:eastAsia="zh-CN"/>
        </w:rPr>
        <w:t>参照</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w:t>
      </w:r>
      <w:r>
        <w:rPr>
          <w:rFonts w:hint="eastAsia" w:eastAsia="仿宋_GB2312"/>
          <w:sz w:val="32"/>
          <w:lang w:val="en-US" w:eastAsia="zh-CN"/>
        </w:rPr>
        <w:t>拟</w:t>
      </w:r>
      <w:r>
        <w:rPr>
          <w:rFonts w:eastAsia="仿宋_GB2312"/>
          <w:sz w:val="32"/>
        </w:rPr>
        <w:t>按实际征收土地面积的10%安排留用地</w:t>
      </w:r>
      <w:r>
        <w:rPr>
          <w:rFonts w:hint="eastAsia" w:eastAsia="仿宋_GB2312"/>
          <w:sz w:val="32"/>
          <w:lang w:val="en-US" w:eastAsia="zh-CN"/>
        </w:rPr>
        <w:t>，</w:t>
      </w:r>
      <w:r>
        <w:rPr>
          <w:rFonts w:eastAsia="仿宋_GB2312"/>
          <w:sz w:val="32"/>
          <w:highlight w:val="none"/>
        </w:rPr>
        <w:t>留用地兑现方式为</w:t>
      </w:r>
      <w:r>
        <w:rPr>
          <w:rFonts w:hint="eastAsia" w:eastAsia="仿宋_GB2312"/>
          <w:sz w:val="32"/>
          <w:highlight w:val="none"/>
          <w:lang w:eastAsia="zh-CN"/>
        </w:rPr>
        <w:t>实物留地，拟在</w:t>
      </w:r>
      <w:r>
        <w:rPr>
          <w:rFonts w:hint="eastAsia" w:eastAsia="仿宋_GB2312"/>
          <w:sz w:val="32"/>
          <w:highlight w:val="none"/>
          <w:lang w:val="en-US" w:eastAsia="zh-CN"/>
        </w:rPr>
        <w:t>地块外另行选址安排落实</w:t>
      </w:r>
      <w:r>
        <w:rPr>
          <w:rFonts w:eastAsia="仿宋_GB2312"/>
          <w:sz w:val="32"/>
          <w:highlight w:val="none"/>
        </w:rPr>
        <w:t>。</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w:t>
      </w:r>
      <w:r>
        <w:rPr>
          <w:rFonts w:eastAsia="仿宋_GB2312"/>
          <w:sz w:val="32"/>
          <w:highlight w:val="none"/>
        </w:rPr>
        <w:t>核定该项目按</w:t>
      </w:r>
      <w:r>
        <w:rPr>
          <w:rFonts w:hint="eastAsia" w:eastAsia="仿宋_GB2312"/>
          <w:sz w:val="32"/>
          <w:highlight w:val="none"/>
          <w:lang w:val="en-US" w:eastAsia="zh-CN"/>
        </w:rPr>
        <w:t>每人16200</w:t>
      </w:r>
      <w:r>
        <w:rPr>
          <w:rFonts w:hint="eastAsia" w:eastAsia="仿宋_GB2312"/>
          <w:sz w:val="32"/>
          <w:highlight w:val="none"/>
        </w:rPr>
        <w:t>元的</w:t>
      </w:r>
      <w:r>
        <w:rPr>
          <w:rFonts w:eastAsia="仿宋_GB2312"/>
          <w:sz w:val="32"/>
          <w:highlight w:val="none"/>
        </w:rPr>
        <w:t>标准一次性</w:t>
      </w:r>
      <w:r>
        <w:rPr>
          <w:rFonts w:hint="eastAsia" w:eastAsia="仿宋_GB2312"/>
          <w:sz w:val="32"/>
          <w:highlight w:val="none"/>
        </w:rPr>
        <w:t>将</w:t>
      </w:r>
      <w:r>
        <w:rPr>
          <w:rFonts w:eastAsia="仿宋_GB2312"/>
          <w:sz w:val="32"/>
          <w:highlight w:val="none"/>
        </w:rPr>
        <w:t>集体被征地农民养老保障资金存入“收缴被征地农民养老保障资金过渡户”，费用合计</w:t>
      </w:r>
      <w:r>
        <w:rPr>
          <w:rFonts w:hint="eastAsia" w:eastAsia="仿宋_GB2312"/>
          <w:sz w:val="32"/>
          <w:highlight w:val="none"/>
          <w:lang w:val="en-US" w:eastAsia="zh-CN"/>
        </w:rPr>
        <w:t>16.20</w:t>
      </w:r>
      <w:r>
        <w:rPr>
          <w:rFonts w:eastAsia="仿宋_GB2312"/>
          <w:sz w:val="32"/>
          <w:highlight w:val="none"/>
        </w:rPr>
        <w:t>万元，</w:t>
      </w:r>
      <w:r>
        <w:rPr>
          <w:rFonts w:eastAsia="仿宋_GB2312"/>
          <w:sz w:val="32"/>
        </w:rPr>
        <w:t xml:space="preserve">专款用于被征地农民缴纳养老保险费用。征地批准文件批复的实际范围有变化的，费用将做相应调整。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lMzI4MzFiZDAxOGFkOGI5M2M5NzcxNmY1YjQyOTk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3E8C"/>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3637D1"/>
    <w:rsid w:val="01387B24"/>
    <w:rsid w:val="02BE01B7"/>
    <w:rsid w:val="03522AF1"/>
    <w:rsid w:val="04590900"/>
    <w:rsid w:val="047D565D"/>
    <w:rsid w:val="048E01FF"/>
    <w:rsid w:val="05E03680"/>
    <w:rsid w:val="06CE1903"/>
    <w:rsid w:val="06D7072D"/>
    <w:rsid w:val="07E3076B"/>
    <w:rsid w:val="08FA7AA5"/>
    <w:rsid w:val="09373001"/>
    <w:rsid w:val="0B017B66"/>
    <w:rsid w:val="0B46443A"/>
    <w:rsid w:val="0C4869FB"/>
    <w:rsid w:val="0CFF26A5"/>
    <w:rsid w:val="0E8E79F1"/>
    <w:rsid w:val="0F036D42"/>
    <w:rsid w:val="0F2928DC"/>
    <w:rsid w:val="0F7468AC"/>
    <w:rsid w:val="10C95C7C"/>
    <w:rsid w:val="11252649"/>
    <w:rsid w:val="11CA1DCC"/>
    <w:rsid w:val="12822F7C"/>
    <w:rsid w:val="15413B39"/>
    <w:rsid w:val="15AE1730"/>
    <w:rsid w:val="17214184"/>
    <w:rsid w:val="17491FED"/>
    <w:rsid w:val="175775B7"/>
    <w:rsid w:val="18D23988"/>
    <w:rsid w:val="1956045E"/>
    <w:rsid w:val="199B2773"/>
    <w:rsid w:val="1AAE50AD"/>
    <w:rsid w:val="1B5B127F"/>
    <w:rsid w:val="1B67425E"/>
    <w:rsid w:val="1B813443"/>
    <w:rsid w:val="1CDA166B"/>
    <w:rsid w:val="1E917E41"/>
    <w:rsid w:val="202A5D88"/>
    <w:rsid w:val="21D97A24"/>
    <w:rsid w:val="22500BDE"/>
    <w:rsid w:val="23190A27"/>
    <w:rsid w:val="25B17549"/>
    <w:rsid w:val="289B209A"/>
    <w:rsid w:val="2C937B65"/>
    <w:rsid w:val="2DD00285"/>
    <w:rsid w:val="2E232E6A"/>
    <w:rsid w:val="2E4F62E5"/>
    <w:rsid w:val="2EBC6814"/>
    <w:rsid w:val="2F1124AC"/>
    <w:rsid w:val="2FE778C1"/>
    <w:rsid w:val="32495613"/>
    <w:rsid w:val="366738CE"/>
    <w:rsid w:val="37BF40CD"/>
    <w:rsid w:val="37D143DE"/>
    <w:rsid w:val="39227BBC"/>
    <w:rsid w:val="3A03209D"/>
    <w:rsid w:val="3A656F28"/>
    <w:rsid w:val="3B4C61E9"/>
    <w:rsid w:val="3C38025F"/>
    <w:rsid w:val="3C992538"/>
    <w:rsid w:val="3EB44691"/>
    <w:rsid w:val="3F3A5E5C"/>
    <w:rsid w:val="3F3B12E2"/>
    <w:rsid w:val="402A1625"/>
    <w:rsid w:val="40703903"/>
    <w:rsid w:val="41CB5A11"/>
    <w:rsid w:val="42825A3B"/>
    <w:rsid w:val="42B31A3C"/>
    <w:rsid w:val="43232767"/>
    <w:rsid w:val="43E0357B"/>
    <w:rsid w:val="45296E84"/>
    <w:rsid w:val="46212862"/>
    <w:rsid w:val="47C40AA6"/>
    <w:rsid w:val="47E210AF"/>
    <w:rsid w:val="494E5AF8"/>
    <w:rsid w:val="4B3F663F"/>
    <w:rsid w:val="4B442BE5"/>
    <w:rsid w:val="4F022724"/>
    <w:rsid w:val="4FC45342"/>
    <w:rsid w:val="50082F1B"/>
    <w:rsid w:val="51BF0246"/>
    <w:rsid w:val="51C4585C"/>
    <w:rsid w:val="53CB23A2"/>
    <w:rsid w:val="566C201F"/>
    <w:rsid w:val="56956D37"/>
    <w:rsid w:val="572C1E49"/>
    <w:rsid w:val="58021AF1"/>
    <w:rsid w:val="5C61520B"/>
    <w:rsid w:val="5F19102D"/>
    <w:rsid w:val="622845F4"/>
    <w:rsid w:val="638E5EA0"/>
    <w:rsid w:val="65A6554D"/>
    <w:rsid w:val="66814649"/>
    <w:rsid w:val="66F94A92"/>
    <w:rsid w:val="68F14C3B"/>
    <w:rsid w:val="6A2503CE"/>
    <w:rsid w:val="6B3D53FB"/>
    <w:rsid w:val="6B713781"/>
    <w:rsid w:val="6B9C4262"/>
    <w:rsid w:val="6D467FB1"/>
    <w:rsid w:val="6D4C5CE1"/>
    <w:rsid w:val="6FC00223"/>
    <w:rsid w:val="6FDE7692"/>
    <w:rsid w:val="70DF3E63"/>
    <w:rsid w:val="723F1B4A"/>
    <w:rsid w:val="724C4D86"/>
    <w:rsid w:val="72CA3E75"/>
    <w:rsid w:val="72EE757E"/>
    <w:rsid w:val="73086F33"/>
    <w:rsid w:val="738631C1"/>
    <w:rsid w:val="73C32F03"/>
    <w:rsid w:val="746D1CAE"/>
    <w:rsid w:val="76C951AF"/>
    <w:rsid w:val="780E2E52"/>
    <w:rsid w:val="79776764"/>
    <w:rsid w:val="7D2A6F6E"/>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1439</Words>
  <Characters>1518</Characters>
  <Lines>10</Lines>
  <Paragraphs>2</Paragraphs>
  <TotalTime>10</TotalTime>
  <ScaleCrop>false</ScaleCrop>
  <LinksUpToDate>false</LinksUpToDate>
  <CharactersWithSpaces>1563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2023-06-13T07:23:00Z</cp:lastPrinted>
  <dcterms:modified xsi:type="dcterms:W3CDTF">2023-08-11T07:50:49Z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