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hint="eastAsia" w:eastAsia="方正小标宋简体"/>
          <w:sz w:val="44"/>
          <w:szCs w:val="44"/>
        </w:rPr>
        <w:t>关于广州市花都区2023年度第三十七批次城镇建设用地（瑞香路西地块）的</w:t>
      </w:r>
    </w:p>
    <w:p>
      <w:pPr>
        <w:spacing w:line="560" w:lineRule="exact"/>
        <w:jc w:val="center"/>
        <w:rPr>
          <w:rFonts w:eastAsia="方正小标宋简体"/>
          <w:sz w:val="44"/>
          <w:szCs w:val="44"/>
        </w:rPr>
      </w:pPr>
      <w:r>
        <w:rPr>
          <w:rFonts w:eastAsia="方正小标宋简体"/>
          <w:sz w:val="44"/>
          <w:szCs w:val="44"/>
        </w:rPr>
        <w:t>征地补偿安置方案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秀全街</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该区秀全街大</w:t>
      </w:r>
      <w:r>
        <w:rPr>
          <w:rFonts w:hint="eastAsia" w:ascii="微软雅黑" w:hAnsi="微软雅黑" w:eastAsia="微软雅黑" w:cs="微软雅黑"/>
          <w:sz w:val="32"/>
        </w:rPr>
        <w:t>㘵</w:t>
      </w:r>
      <w:r>
        <w:rPr>
          <w:rFonts w:hint="eastAsia" w:ascii="仿宋_GB2312" w:hAnsi="仿宋_GB2312" w:eastAsia="仿宋_GB2312" w:cs="仿宋_GB2312"/>
          <w:sz w:val="32"/>
        </w:rPr>
        <w:t>村大</w:t>
      </w:r>
      <w:r>
        <w:rPr>
          <w:rFonts w:hint="eastAsia" w:ascii="微软雅黑" w:hAnsi="微软雅黑" w:eastAsia="微软雅黑" w:cs="微软雅黑"/>
          <w:sz w:val="32"/>
        </w:rPr>
        <w:t>㘵</w:t>
      </w:r>
      <w:r>
        <w:rPr>
          <w:rFonts w:hint="eastAsia" w:ascii="仿宋_GB2312" w:hAnsi="仿宋_GB2312" w:eastAsia="仿宋_GB2312" w:cs="仿宋_GB2312"/>
          <w:sz w:val="32"/>
        </w:rPr>
        <w:t>经济合作社</w:t>
      </w:r>
      <w:r>
        <w:rPr>
          <w:rFonts w:eastAsia="仿宋_GB2312"/>
          <w:sz w:val="32"/>
        </w:rPr>
        <w:t>属下的集体土地3.7859公顷。根据《中华人民共和国土地管理法》第二条、第四十五条、第四十七条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w:t>
      </w:r>
      <w:r>
        <w:rPr>
          <w:rFonts w:hint="eastAsia" w:eastAsia="黑体"/>
          <w:sz w:val="32"/>
        </w:rPr>
        <w:t>范围</w:t>
      </w:r>
    </w:p>
    <w:p>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土地位于秀全街大</w:t>
      </w:r>
      <w:r>
        <w:rPr>
          <w:rFonts w:hint="eastAsia" w:ascii="微软雅黑" w:hAnsi="微软雅黑" w:eastAsia="微软雅黑" w:cs="微软雅黑"/>
          <w:sz w:val="32"/>
        </w:rPr>
        <w:t>㘵</w:t>
      </w:r>
      <w:r>
        <w:rPr>
          <w:rFonts w:hint="eastAsia" w:ascii="仿宋_GB2312" w:hAnsi="仿宋_GB2312" w:eastAsia="仿宋_GB2312" w:cs="仿宋_GB2312"/>
          <w:sz w:val="32"/>
        </w:rPr>
        <w:t>村大</w:t>
      </w:r>
      <w:r>
        <w:rPr>
          <w:rFonts w:hint="eastAsia" w:ascii="微软雅黑" w:hAnsi="微软雅黑" w:eastAsia="微软雅黑" w:cs="微软雅黑"/>
          <w:sz w:val="32"/>
        </w:rPr>
        <w:t>㘵</w:t>
      </w:r>
      <w:r>
        <w:rPr>
          <w:rFonts w:hint="eastAsia" w:ascii="仿宋_GB2312" w:hAnsi="仿宋_GB2312" w:eastAsia="仿宋_GB2312" w:cs="仿宋_GB2312"/>
          <w:sz w:val="32"/>
        </w:rPr>
        <w:t>经济合作社</w:t>
      </w:r>
      <w:r>
        <w:rPr>
          <w:rFonts w:hint="eastAsia" w:eastAsia="仿宋_GB2312"/>
          <w:sz w:val="32"/>
        </w:rPr>
        <w:t>范围内</w:t>
      </w:r>
      <w:r>
        <w:rPr>
          <w:rFonts w:eastAsia="仿宋_GB2312"/>
          <w:sz w:val="32"/>
        </w:rPr>
        <w:t>。</w:t>
      </w:r>
    </w:p>
    <w:p>
      <w:pPr>
        <w:spacing w:line="560" w:lineRule="exact"/>
        <w:ind w:firstLine="640" w:firstLineChars="200"/>
        <w:rPr>
          <w:rFonts w:eastAsia="仿宋_GB2312"/>
          <w:sz w:val="32"/>
        </w:rPr>
      </w:pP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eastAsia="黑体"/>
          <w:sz w:val="32"/>
        </w:rPr>
      </w:pPr>
      <w:r>
        <w:rPr>
          <w:rFonts w:eastAsia="黑体"/>
          <w:sz w:val="32"/>
        </w:rPr>
        <w:t>二、征收目的</w:t>
      </w:r>
    </w:p>
    <w:p>
      <w:pPr>
        <w:spacing w:line="560" w:lineRule="exact"/>
        <w:ind w:firstLine="640" w:firstLineChars="200"/>
        <w:rPr>
          <w:rFonts w:eastAsia="仿宋_GB2312"/>
          <w:sz w:val="32"/>
        </w:rPr>
      </w:pPr>
      <w:r>
        <w:rPr>
          <w:rFonts w:eastAsia="仿宋_GB2312"/>
          <w:sz w:val="32"/>
        </w:rPr>
        <w:t>根据《中华人民共和国土地管理法》第四十五条的规定，本次征收土地目的为</w:t>
      </w:r>
      <w:r>
        <w:rPr>
          <w:rFonts w:hint="eastAsia" w:eastAsia="仿宋_GB2312"/>
          <w:sz w:val="32"/>
        </w:rPr>
        <w:t>在土地利用总体规划确定的城镇建设用地范围内，经省级以上人民政府批准由县级以上地方人民政府组织实施的成片开发建设需要用地的。</w:t>
      </w:r>
    </w:p>
    <w:p>
      <w:pPr>
        <w:spacing w:line="560" w:lineRule="exact"/>
        <w:ind w:firstLine="640" w:firstLineChars="200"/>
        <w:rPr>
          <w:rFonts w:eastAsia="黑体"/>
          <w:sz w:val="32"/>
        </w:rPr>
      </w:pPr>
      <w:r>
        <w:rPr>
          <w:rFonts w:eastAsia="黑体"/>
          <w:sz w:val="32"/>
        </w:rPr>
        <w:t>三、土地现状</w:t>
      </w:r>
    </w:p>
    <w:p>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60" w:lineRule="exact"/>
        <w:ind w:firstLine="640" w:firstLineChars="200"/>
        <w:rPr>
          <w:rFonts w:eastAsia="仿宋_GB2312"/>
          <w:sz w:val="32"/>
        </w:rPr>
      </w:pPr>
      <w:r>
        <w:rPr>
          <w:rFonts w:hint="eastAsia" w:eastAsia="仿宋_GB2312"/>
          <w:sz w:val="32"/>
        </w:rPr>
        <w:t>拟征收秀全街大</w:t>
      </w:r>
      <w:r>
        <w:rPr>
          <w:rFonts w:hint="eastAsia" w:ascii="微软雅黑" w:hAnsi="微软雅黑" w:eastAsia="微软雅黑" w:cs="微软雅黑"/>
          <w:sz w:val="32"/>
        </w:rPr>
        <w:t>㘵</w:t>
      </w:r>
      <w:r>
        <w:rPr>
          <w:rFonts w:hint="eastAsia" w:ascii="仿宋_GB2312" w:hAnsi="仿宋_GB2312" w:eastAsia="仿宋_GB2312" w:cs="仿宋_GB2312"/>
          <w:sz w:val="32"/>
        </w:rPr>
        <w:t>村大</w:t>
      </w:r>
      <w:r>
        <w:rPr>
          <w:rFonts w:hint="eastAsia" w:ascii="微软雅黑" w:hAnsi="微软雅黑" w:eastAsia="微软雅黑" w:cs="微软雅黑"/>
          <w:sz w:val="32"/>
        </w:rPr>
        <w:t>㘵</w:t>
      </w:r>
      <w:r>
        <w:rPr>
          <w:rFonts w:hint="eastAsia" w:ascii="仿宋_GB2312" w:hAnsi="仿宋_GB2312" w:eastAsia="仿宋_GB2312" w:cs="仿宋_GB2312"/>
          <w:sz w:val="32"/>
        </w:rPr>
        <w:t>经济合作社</w:t>
      </w:r>
      <w:r>
        <w:rPr>
          <w:rFonts w:hint="eastAsia" w:eastAsia="仿宋_GB2312"/>
          <w:sz w:val="32"/>
        </w:rPr>
        <w:t>集体所有土地</w:t>
      </w:r>
      <w:r>
        <w:rPr>
          <w:rFonts w:eastAsia="仿宋_GB2312"/>
          <w:sz w:val="32"/>
        </w:rPr>
        <w:t>3.7859</w:t>
      </w:r>
      <w:r>
        <w:rPr>
          <w:rFonts w:hint="eastAsia" w:eastAsia="仿宋_GB2312"/>
          <w:sz w:val="32"/>
        </w:rPr>
        <w:t>公顷（</w:t>
      </w:r>
      <w:r>
        <w:rPr>
          <w:rFonts w:eastAsia="仿宋_GB2312"/>
          <w:sz w:val="32"/>
        </w:rPr>
        <w:t>56.7885</w:t>
      </w:r>
      <w:r>
        <w:rPr>
          <w:rFonts w:hint="eastAsia" w:eastAsia="仿宋_GB2312"/>
          <w:sz w:val="32"/>
        </w:rPr>
        <w:t>亩）。其中农用地</w:t>
      </w:r>
      <w:r>
        <w:rPr>
          <w:rFonts w:eastAsia="仿宋_GB2312"/>
          <w:sz w:val="32"/>
        </w:rPr>
        <w:t>0.3148</w:t>
      </w:r>
      <w:r>
        <w:rPr>
          <w:rFonts w:hint="eastAsia" w:eastAsia="仿宋_GB2312"/>
          <w:sz w:val="32"/>
        </w:rPr>
        <w:t>公顷（</w:t>
      </w:r>
      <w:r>
        <w:rPr>
          <w:rFonts w:eastAsia="仿宋_GB2312"/>
          <w:sz w:val="32"/>
        </w:rPr>
        <w:t>4.7220</w:t>
      </w:r>
      <w:r>
        <w:rPr>
          <w:rFonts w:hint="eastAsia" w:eastAsia="仿宋_GB2312"/>
          <w:sz w:val="32"/>
        </w:rPr>
        <w:t>亩），不涉及耕地；建设用地</w:t>
      </w:r>
      <w:r>
        <w:rPr>
          <w:rFonts w:eastAsia="仿宋_GB2312"/>
          <w:sz w:val="32"/>
        </w:rPr>
        <w:t>3.4711</w:t>
      </w:r>
      <w:r>
        <w:rPr>
          <w:rFonts w:hint="eastAsia" w:eastAsia="仿宋_GB2312"/>
          <w:sz w:val="32"/>
        </w:rPr>
        <w:t>公顷（</w:t>
      </w:r>
      <w:r>
        <w:rPr>
          <w:rFonts w:eastAsia="仿宋_GB2312"/>
          <w:sz w:val="32"/>
        </w:rPr>
        <w:t>52.0665</w:t>
      </w:r>
      <w:r>
        <w:rPr>
          <w:rFonts w:hint="eastAsia" w:eastAsia="仿宋_GB2312"/>
          <w:sz w:val="32"/>
        </w:rPr>
        <w:t>亩），不涉及未利用地。</w:t>
      </w:r>
    </w:p>
    <w:p>
      <w:pPr>
        <w:spacing w:line="560" w:lineRule="exact"/>
        <w:ind w:firstLine="640" w:firstLineChars="200"/>
        <w:rPr>
          <w:rFonts w:eastAsia="黑体"/>
          <w:sz w:val="32"/>
        </w:rPr>
      </w:pPr>
      <w:r>
        <w:rPr>
          <w:rFonts w:eastAsia="黑体"/>
          <w:sz w:val="32"/>
        </w:rPr>
        <w:t xml:space="preserve">四、补偿方式和标准 </w:t>
      </w:r>
    </w:p>
    <w:p>
      <w:pPr>
        <w:spacing w:line="560" w:lineRule="exact"/>
        <w:ind w:firstLine="640" w:firstLineChars="200"/>
        <w:rPr>
          <w:rFonts w:eastAsia="仿宋_GB2312"/>
          <w:sz w:val="32"/>
        </w:rPr>
      </w:pPr>
      <w:r>
        <w:rPr>
          <w:rFonts w:eastAsia="仿宋_GB2312"/>
          <w:sz w:val="32"/>
        </w:rPr>
        <w:t>（一）土地补偿费和安置补助费标准</w:t>
      </w:r>
    </w:p>
    <w:p>
      <w:pPr>
        <w:spacing w:line="56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根据《广东省自然资源厅关于广州市征收农用地区片综合地价成果的批复》（粤自然资函〔2021〕196号）的规定</w:t>
      </w:r>
      <w:r>
        <w:rPr>
          <w:rFonts w:eastAsia="仿宋_GB2312"/>
          <w:sz w:val="32"/>
        </w:rPr>
        <w:t>，</w:t>
      </w:r>
      <w:r>
        <w:rPr>
          <w:rFonts w:hint="eastAsia" w:eastAsia="仿宋_GB2312"/>
          <w:sz w:val="32"/>
        </w:rPr>
        <w:t>农用地的</w:t>
      </w:r>
      <w:r>
        <w:rPr>
          <w:rFonts w:hint="eastAsia" w:ascii="仿宋_GB2312" w:hAnsi="仿宋_GB2312" w:eastAsia="仿宋_GB2312" w:cs="仿宋_GB2312"/>
          <w:sz w:val="32"/>
          <w:szCs w:val="32"/>
        </w:rPr>
        <w:t>土地补偿标准</w:t>
      </w:r>
      <w:r>
        <w:rPr>
          <w:rFonts w:hint="eastAsia" w:eastAsia="仿宋_GB2312"/>
          <w:sz w:val="32"/>
        </w:rPr>
        <w:t>为</w:t>
      </w:r>
      <w:r>
        <w:rPr>
          <w:rFonts w:eastAsia="仿宋_GB2312"/>
          <w:sz w:val="32"/>
        </w:rPr>
        <w:t>120</w:t>
      </w:r>
      <w:r>
        <w:rPr>
          <w:rFonts w:hint="eastAsia" w:eastAsia="仿宋_GB2312"/>
          <w:sz w:val="32"/>
        </w:rPr>
        <w:t>万</w:t>
      </w:r>
      <w:r>
        <w:rPr>
          <w:rFonts w:hint="eastAsia" w:ascii="仿宋_GB2312" w:hAnsi="仿宋_GB2312" w:eastAsia="仿宋_GB2312" w:cs="仿宋_GB2312"/>
          <w:sz w:val="32"/>
          <w:szCs w:val="32"/>
        </w:rPr>
        <w:t>元/公顷，安置补助标准为</w:t>
      </w:r>
      <w:r>
        <w:rPr>
          <w:rFonts w:eastAsia="仿宋_GB2312"/>
          <w:sz w:val="32"/>
        </w:rPr>
        <w:t>120</w:t>
      </w:r>
      <w:r>
        <w:rPr>
          <w:rFonts w:hint="eastAsia" w:ascii="仿宋_GB2312" w:hAnsi="仿宋_GB2312" w:eastAsia="仿宋_GB2312" w:cs="仿宋_GB2312"/>
          <w:sz w:val="32"/>
          <w:szCs w:val="32"/>
        </w:rPr>
        <w:t>万元/公顷。</w:t>
      </w:r>
      <w:r>
        <w:rPr>
          <w:rFonts w:hint="eastAsia" w:eastAsia="仿宋_GB2312"/>
          <w:sz w:val="32"/>
        </w:rPr>
        <w:t>建设用地和未利用地土地补偿标准为</w:t>
      </w:r>
      <w:r>
        <w:rPr>
          <w:rFonts w:eastAsia="仿宋_GB2312"/>
          <w:sz w:val="32"/>
        </w:rPr>
        <w:t>240</w:t>
      </w:r>
      <w:r>
        <w:rPr>
          <w:rFonts w:hint="eastAsia" w:eastAsia="仿宋_GB2312"/>
          <w:sz w:val="32"/>
        </w:rPr>
        <w:t>万</w:t>
      </w:r>
      <w:r>
        <w:rPr>
          <w:rFonts w:eastAsia="仿宋_GB2312"/>
          <w:sz w:val="32"/>
        </w:rPr>
        <w:t>/</w:t>
      </w:r>
      <w:r>
        <w:rPr>
          <w:rFonts w:hint="eastAsia" w:eastAsia="仿宋_GB2312"/>
          <w:sz w:val="32"/>
        </w:rPr>
        <w:t>公顷。</w:t>
      </w:r>
    </w:p>
    <w:p>
      <w:pPr>
        <w:spacing w:line="560" w:lineRule="exact"/>
        <w:ind w:firstLine="640" w:firstLineChars="200"/>
        <w:rPr>
          <w:rFonts w:eastAsia="仿宋_GB2312"/>
          <w:sz w:val="32"/>
        </w:rPr>
      </w:pPr>
      <w:r>
        <w:rPr>
          <w:rFonts w:eastAsia="仿宋_GB2312"/>
          <w:sz w:val="32"/>
        </w:rPr>
        <w:t>（二）农村村民住宅补偿</w:t>
      </w:r>
    </w:p>
    <w:p>
      <w:pPr>
        <w:spacing w:line="560" w:lineRule="exact"/>
        <w:ind w:firstLine="640" w:firstLineChars="200"/>
        <w:rPr>
          <w:rFonts w:eastAsia="仿宋_GB2312"/>
          <w:sz w:val="32"/>
        </w:rPr>
      </w:pPr>
      <w:r>
        <w:rPr>
          <w:rFonts w:hint="eastAsia" w:eastAsia="仿宋_GB2312"/>
          <w:sz w:val="32"/>
        </w:rPr>
        <w:t>本次征地不涉及农村农民住宅补偿</w:t>
      </w:r>
      <w:r>
        <w:rPr>
          <w:rFonts w:eastAsia="仿宋_GB2312"/>
          <w:sz w:val="32"/>
        </w:rPr>
        <w:t>。</w:t>
      </w:r>
    </w:p>
    <w:p>
      <w:pPr>
        <w:spacing w:line="560" w:lineRule="exact"/>
        <w:ind w:firstLine="640" w:firstLineChars="200"/>
        <w:rPr>
          <w:rFonts w:eastAsia="仿宋_GB2312"/>
          <w:sz w:val="32"/>
        </w:rPr>
      </w:pPr>
      <w:r>
        <w:rPr>
          <w:rFonts w:eastAsia="仿宋_GB2312"/>
          <w:sz w:val="32"/>
        </w:rPr>
        <w:t>（三）青苗及其他地上附着物补偿</w:t>
      </w:r>
    </w:p>
    <w:p>
      <w:pPr>
        <w:spacing w:line="560" w:lineRule="exact"/>
        <w:ind w:firstLine="640" w:firstLineChars="200"/>
        <w:rPr>
          <w:rFonts w:eastAsia="仿宋_GB2312"/>
          <w:sz w:val="32"/>
        </w:rPr>
      </w:pPr>
      <w:r>
        <w:rPr>
          <w:rFonts w:eastAsia="仿宋_GB2312"/>
          <w:sz w:val="32"/>
        </w:rPr>
        <w:t>青苗补偿费及地上附着物补偿费等其他补偿费用</w:t>
      </w:r>
      <w:r>
        <w:rPr>
          <w:rFonts w:hint="eastAsia" w:eastAsia="仿宋_GB2312"/>
          <w:sz w:val="32"/>
        </w:rPr>
        <w:t>参照</w:t>
      </w:r>
      <w:r>
        <w:rPr>
          <w:rFonts w:eastAsia="仿宋_GB2312"/>
          <w:color w:val="000000" w:themeColor="text1"/>
          <w:sz w:val="32"/>
          <w:szCs w:val="32"/>
          <w14:textFill>
            <w14:solidFill>
              <w14:schemeClr w14:val="tx1"/>
            </w14:solidFill>
          </w14:textFill>
        </w:rPr>
        <w:t>《广州市花都区人民政府办公室印发花都区</w:t>
      </w:r>
      <w:r>
        <w:rPr>
          <w:rFonts w:hint="eastAsia" w:eastAsia="仿宋_GB2312"/>
          <w:color w:val="000000" w:themeColor="text1"/>
          <w:sz w:val="32"/>
          <w:szCs w:val="32"/>
          <w14:textFill>
            <w14:solidFill>
              <w14:schemeClr w14:val="tx1"/>
            </w14:solidFill>
          </w14:textFill>
        </w:rPr>
        <w:t>片区</w:t>
      </w:r>
      <w:r>
        <w:rPr>
          <w:rFonts w:eastAsia="仿宋_GB2312"/>
          <w:color w:val="000000" w:themeColor="text1"/>
          <w:sz w:val="32"/>
          <w:szCs w:val="32"/>
          <w14:textFill>
            <w14:solidFill>
              <w14:schemeClr w14:val="tx1"/>
            </w14:solidFill>
          </w14:textFill>
        </w:rPr>
        <w:t>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黑体"/>
          <w:sz w:val="32"/>
        </w:rPr>
        <w:t>五、安置对象</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eastAsia="仿宋_GB2312"/>
          <w:color w:val="000000" w:themeColor="text1"/>
          <w:sz w:val="32"/>
          <w14:textFill>
            <w14:solidFill>
              <w14:schemeClr w14:val="tx1"/>
            </w14:solidFill>
          </w14:textFill>
        </w:rPr>
      </w:pPr>
      <w:r>
        <w:rPr>
          <w:rFonts w:eastAsia="仿宋_GB2312"/>
          <w:color w:val="000000" w:themeColor="text1"/>
          <w:sz w:val="32"/>
          <w14:textFill>
            <w14:solidFill>
              <w14:schemeClr w14:val="tx1"/>
            </w14:solidFill>
          </w14:textFill>
        </w:rPr>
        <w:t xml:space="preserve"> </w:t>
      </w:r>
      <w:r>
        <w:rPr>
          <w:rFonts w:eastAsia="黑体"/>
          <w:color w:val="000000" w:themeColor="text1"/>
          <w:sz w:val="32"/>
          <w14:textFill>
            <w14:solidFill>
              <w14:schemeClr w14:val="tx1"/>
            </w14:solidFill>
          </w14:textFill>
        </w:rPr>
        <w:t>六、安置方式和社会保障</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rPr>
      </w:pPr>
      <w:r>
        <w:rPr>
          <w:rFonts w:eastAsia="仿宋_GB2312"/>
          <w:sz w:val="32"/>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w:t>
      </w:r>
      <w:r>
        <w:rPr>
          <w:rFonts w:hint="eastAsia" w:eastAsia="仿宋_GB2312"/>
          <w:sz w:val="32"/>
        </w:rPr>
        <w:t>货币补偿</w:t>
      </w:r>
      <w:r>
        <w:rPr>
          <w:rFonts w:eastAsia="仿宋_GB2312"/>
          <w:sz w:val="32"/>
        </w:rPr>
        <w:t>。</w:t>
      </w:r>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（三）社会保障费用。根据《广东省人民政府办公厅转发省人力资源社会保障厅关于进一步完善我省被征地农民养老保障政策意见的通知》（粤府办〔2021〕22号）规定，核定该项目按2.14</w:t>
      </w:r>
      <w:r>
        <w:rPr>
          <w:rFonts w:hint="eastAsia" w:eastAsia="仿宋_GB2312"/>
          <w:sz w:val="32"/>
        </w:rPr>
        <w:t>万元/亩的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集体被征地农民养老保障资金存入“收缴被征地农民养老保障资金过渡户”，费用合计121.53万元，专款用于被征地农民缴纳养老保险费用。征地批准文件批复的实际范围有变化的，费用将做相应调整。</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right="640" w:firstLine="640" w:firstLineChars="200"/>
        <w:jc w:val="right"/>
        <w:rPr>
          <w:rFonts w:eastAsia="仿宋_GB2312"/>
          <w:sz w:val="32"/>
        </w:rPr>
      </w:pPr>
      <w:r>
        <w:rPr>
          <w:rFonts w:eastAsia="仿宋_GB2312"/>
          <w:sz w:val="32"/>
        </w:rPr>
        <w:t>2023年</w:t>
      </w:r>
      <w:r>
        <w:rPr>
          <w:rFonts w:hint="eastAsia" w:eastAsia="仿宋_GB2312"/>
          <w:sz w:val="32"/>
          <w:lang w:val="en-US" w:eastAsia="zh-CN"/>
        </w:rPr>
        <w:t>6</w:t>
      </w:r>
      <w:r>
        <w:rPr>
          <w:rFonts w:eastAsia="仿宋_GB2312"/>
          <w:sz w:val="32"/>
        </w:rPr>
        <w:t>月</w:t>
      </w:r>
      <w:r>
        <w:rPr>
          <w:rFonts w:hint="eastAsia" w:eastAsia="仿宋_GB2312"/>
          <w:sz w:val="32"/>
          <w:lang w:val="en-US" w:eastAsia="zh-CN"/>
        </w:rPr>
        <w:t>16</w:t>
      </w:r>
      <w:bookmarkStart w:id="0" w:name="_GoBack"/>
      <w:bookmarkEnd w:id="0"/>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3D45"/>
    <w:rsid w:val="00046479"/>
    <w:rsid w:val="00046CBE"/>
    <w:rsid w:val="00083A9C"/>
    <w:rsid w:val="00094904"/>
    <w:rsid w:val="000B61A4"/>
    <w:rsid w:val="000C20D9"/>
    <w:rsid w:val="000C26E7"/>
    <w:rsid w:val="000C7A2F"/>
    <w:rsid w:val="000F69CA"/>
    <w:rsid w:val="000F7534"/>
    <w:rsid w:val="001029EE"/>
    <w:rsid w:val="00104D4A"/>
    <w:rsid w:val="00121551"/>
    <w:rsid w:val="001244F3"/>
    <w:rsid w:val="00127188"/>
    <w:rsid w:val="001327C2"/>
    <w:rsid w:val="0013451A"/>
    <w:rsid w:val="001358C4"/>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73CDF"/>
    <w:rsid w:val="00292C79"/>
    <w:rsid w:val="002B5A34"/>
    <w:rsid w:val="002C2C0C"/>
    <w:rsid w:val="002C4415"/>
    <w:rsid w:val="002E1F3F"/>
    <w:rsid w:val="003036B6"/>
    <w:rsid w:val="0032241B"/>
    <w:rsid w:val="003353C6"/>
    <w:rsid w:val="00342F85"/>
    <w:rsid w:val="003436C7"/>
    <w:rsid w:val="0034427E"/>
    <w:rsid w:val="003746AC"/>
    <w:rsid w:val="0038304F"/>
    <w:rsid w:val="003853FC"/>
    <w:rsid w:val="003956C6"/>
    <w:rsid w:val="003D0024"/>
    <w:rsid w:val="003D163F"/>
    <w:rsid w:val="003D281A"/>
    <w:rsid w:val="00411A1B"/>
    <w:rsid w:val="00413DAF"/>
    <w:rsid w:val="00420D58"/>
    <w:rsid w:val="00422370"/>
    <w:rsid w:val="0042456A"/>
    <w:rsid w:val="0044713F"/>
    <w:rsid w:val="00451E1D"/>
    <w:rsid w:val="00454AC2"/>
    <w:rsid w:val="004630A4"/>
    <w:rsid w:val="00476A81"/>
    <w:rsid w:val="00483A85"/>
    <w:rsid w:val="0048686E"/>
    <w:rsid w:val="004A0D3F"/>
    <w:rsid w:val="004B1189"/>
    <w:rsid w:val="004B6BFF"/>
    <w:rsid w:val="004B6E2C"/>
    <w:rsid w:val="004C396A"/>
    <w:rsid w:val="004D09C3"/>
    <w:rsid w:val="004D1919"/>
    <w:rsid w:val="004F100B"/>
    <w:rsid w:val="004F2328"/>
    <w:rsid w:val="005111FD"/>
    <w:rsid w:val="00521569"/>
    <w:rsid w:val="00522EF4"/>
    <w:rsid w:val="00523B26"/>
    <w:rsid w:val="005271AE"/>
    <w:rsid w:val="005357A0"/>
    <w:rsid w:val="00544378"/>
    <w:rsid w:val="00545540"/>
    <w:rsid w:val="005743FE"/>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31DD"/>
    <w:rsid w:val="00637EED"/>
    <w:rsid w:val="006438DE"/>
    <w:rsid w:val="00645839"/>
    <w:rsid w:val="00652B87"/>
    <w:rsid w:val="00654C53"/>
    <w:rsid w:val="00655693"/>
    <w:rsid w:val="00674925"/>
    <w:rsid w:val="00676018"/>
    <w:rsid w:val="00676536"/>
    <w:rsid w:val="0068659F"/>
    <w:rsid w:val="00686873"/>
    <w:rsid w:val="00697B46"/>
    <w:rsid w:val="006A5D68"/>
    <w:rsid w:val="006C3006"/>
    <w:rsid w:val="006D27A4"/>
    <w:rsid w:val="006E0E61"/>
    <w:rsid w:val="006F5C51"/>
    <w:rsid w:val="006F6507"/>
    <w:rsid w:val="007029A2"/>
    <w:rsid w:val="00703891"/>
    <w:rsid w:val="007132FC"/>
    <w:rsid w:val="00721F51"/>
    <w:rsid w:val="00734336"/>
    <w:rsid w:val="007368D4"/>
    <w:rsid w:val="007717E7"/>
    <w:rsid w:val="00772F21"/>
    <w:rsid w:val="00774A49"/>
    <w:rsid w:val="00775A5B"/>
    <w:rsid w:val="00781008"/>
    <w:rsid w:val="007852FE"/>
    <w:rsid w:val="00791905"/>
    <w:rsid w:val="0079390E"/>
    <w:rsid w:val="00793BB2"/>
    <w:rsid w:val="007A5D29"/>
    <w:rsid w:val="007B58E1"/>
    <w:rsid w:val="007D2E9F"/>
    <w:rsid w:val="007E14C5"/>
    <w:rsid w:val="007F15EB"/>
    <w:rsid w:val="00816CAE"/>
    <w:rsid w:val="00833C90"/>
    <w:rsid w:val="008360D3"/>
    <w:rsid w:val="00844234"/>
    <w:rsid w:val="00855826"/>
    <w:rsid w:val="0086311C"/>
    <w:rsid w:val="00886363"/>
    <w:rsid w:val="00891CD9"/>
    <w:rsid w:val="008B134A"/>
    <w:rsid w:val="008B417C"/>
    <w:rsid w:val="008C44D6"/>
    <w:rsid w:val="008D0046"/>
    <w:rsid w:val="008D2B89"/>
    <w:rsid w:val="008D5037"/>
    <w:rsid w:val="008D6365"/>
    <w:rsid w:val="008E023E"/>
    <w:rsid w:val="008F76F1"/>
    <w:rsid w:val="008F7950"/>
    <w:rsid w:val="00941381"/>
    <w:rsid w:val="0098530E"/>
    <w:rsid w:val="009A4779"/>
    <w:rsid w:val="009B4A77"/>
    <w:rsid w:val="009B5D60"/>
    <w:rsid w:val="009E0C1F"/>
    <w:rsid w:val="00A0133D"/>
    <w:rsid w:val="00A16C08"/>
    <w:rsid w:val="00A2173B"/>
    <w:rsid w:val="00A27BF0"/>
    <w:rsid w:val="00A30967"/>
    <w:rsid w:val="00A3416A"/>
    <w:rsid w:val="00A42845"/>
    <w:rsid w:val="00A50A5B"/>
    <w:rsid w:val="00A61726"/>
    <w:rsid w:val="00A64F6D"/>
    <w:rsid w:val="00A71A09"/>
    <w:rsid w:val="00AA0B52"/>
    <w:rsid w:val="00AA4AB7"/>
    <w:rsid w:val="00AA655F"/>
    <w:rsid w:val="00AB03B9"/>
    <w:rsid w:val="00AD2D84"/>
    <w:rsid w:val="00AE7C3F"/>
    <w:rsid w:val="00AE7EB6"/>
    <w:rsid w:val="00B103D3"/>
    <w:rsid w:val="00B136A7"/>
    <w:rsid w:val="00B245BF"/>
    <w:rsid w:val="00B33370"/>
    <w:rsid w:val="00B3449F"/>
    <w:rsid w:val="00B37A8A"/>
    <w:rsid w:val="00B44C3C"/>
    <w:rsid w:val="00B475F4"/>
    <w:rsid w:val="00B53A0D"/>
    <w:rsid w:val="00B64887"/>
    <w:rsid w:val="00B83780"/>
    <w:rsid w:val="00B84307"/>
    <w:rsid w:val="00B85200"/>
    <w:rsid w:val="00B9060C"/>
    <w:rsid w:val="00B96925"/>
    <w:rsid w:val="00BC56E0"/>
    <w:rsid w:val="00BC7F48"/>
    <w:rsid w:val="00BE7B0D"/>
    <w:rsid w:val="00BF60DE"/>
    <w:rsid w:val="00BF745D"/>
    <w:rsid w:val="00C128B0"/>
    <w:rsid w:val="00C1343F"/>
    <w:rsid w:val="00C22C78"/>
    <w:rsid w:val="00C34151"/>
    <w:rsid w:val="00C41E25"/>
    <w:rsid w:val="00C43BF5"/>
    <w:rsid w:val="00C43C11"/>
    <w:rsid w:val="00C52CC9"/>
    <w:rsid w:val="00C66BA0"/>
    <w:rsid w:val="00C921A1"/>
    <w:rsid w:val="00C9338C"/>
    <w:rsid w:val="00CA0267"/>
    <w:rsid w:val="00CB5667"/>
    <w:rsid w:val="00CE3F2C"/>
    <w:rsid w:val="00CE7209"/>
    <w:rsid w:val="00CF5672"/>
    <w:rsid w:val="00CF7256"/>
    <w:rsid w:val="00D05CD6"/>
    <w:rsid w:val="00D17410"/>
    <w:rsid w:val="00D23ED9"/>
    <w:rsid w:val="00D56324"/>
    <w:rsid w:val="00D56E7D"/>
    <w:rsid w:val="00D741E3"/>
    <w:rsid w:val="00D863CD"/>
    <w:rsid w:val="00D90775"/>
    <w:rsid w:val="00D91536"/>
    <w:rsid w:val="00D918FC"/>
    <w:rsid w:val="00DB78DD"/>
    <w:rsid w:val="00DD007D"/>
    <w:rsid w:val="00DD03E7"/>
    <w:rsid w:val="00E01F0F"/>
    <w:rsid w:val="00E15F21"/>
    <w:rsid w:val="00E20365"/>
    <w:rsid w:val="00E35022"/>
    <w:rsid w:val="00E37310"/>
    <w:rsid w:val="00E44B2D"/>
    <w:rsid w:val="00E5270A"/>
    <w:rsid w:val="00E72163"/>
    <w:rsid w:val="00E84121"/>
    <w:rsid w:val="00E84C41"/>
    <w:rsid w:val="00E870CA"/>
    <w:rsid w:val="00E95F11"/>
    <w:rsid w:val="00E962C5"/>
    <w:rsid w:val="00EA1627"/>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57417"/>
    <w:rsid w:val="00F62A6F"/>
    <w:rsid w:val="00F64688"/>
    <w:rsid w:val="00F650FD"/>
    <w:rsid w:val="00F65899"/>
    <w:rsid w:val="00F66A72"/>
    <w:rsid w:val="00F746CB"/>
    <w:rsid w:val="00F76202"/>
    <w:rsid w:val="00F83B81"/>
    <w:rsid w:val="00F8405C"/>
    <w:rsid w:val="00F873F0"/>
    <w:rsid w:val="00F90263"/>
    <w:rsid w:val="00FA553B"/>
    <w:rsid w:val="00FB13C2"/>
    <w:rsid w:val="00FB1A6A"/>
    <w:rsid w:val="00FB57D8"/>
    <w:rsid w:val="00FB72BB"/>
    <w:rsid w:val="00FC22FF"/>
    <w:rsid w:val="00FC7708"/>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1BFC2351"/>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22845F4"/>
    <w:rsid w:val="6A2503CE"/>
    <w:rsid w:val="6B3D53FB"/>
    <w:rsid w:val="6D4C5CE1"/>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电脑室</Company>
  <Pages>3</Pages>
  <Words>1306</Words>
  <Characters>120</Characters>
  <Lines>1</Lines>
  <Paragraphs>2</Paragraphs>
  <TotalTime>731</TotalTime>
  <ScaleCrop>false</ScaleCrop>
  <LinksUpToDate>false</LinksUpToDate>
  <CharactersWithSpaces>1424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李照鹏</cp:lastModifiedBy>
  <cp:lastPrinted>2023-04-28T01:39:00Z</cp:lastPrinted>
  <dcterms:modified xsi:type="dcterms:W3CDTF">2023-06-30T07:47:53Z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