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eastAsia="仿宋_GB2312"/>
          <w:sz w:val="32"/>
          <w:szCs w:val="32"/>
        </w:rPr>
      </w:pPr>
    </w:p>
    <w:p>
      <w:pPr>
        <w:widowControl/>
        <w:spacing w:line="600" w:lineRule="exact"/>
        <w:ind w:firstLine="645"/>
        <w:jc w:val="right"/>
        <w:textAlignment w:val="baseline"/>
        <w:rPr>
          <w:rFonts w:hint="eastAsia" w:ascii="仿宋_GB2312" w:hAnsi="仿宋_GB2312" w:eastAsia="仿宋_GB2312" w:cs="仿宋_GB2312"/>
          <w:sz w:val="32"/>
          <w:szCs w:val="32"/>
        </w:rPr>
      </w:pPr>
    </w:p>
    <w:p>
      <w:pPr>
        <w:widowControl/>
        <w:spacing w:line="600" w:lineRule="exact"/>
        <w:ind w:firstLine="645"/>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粤府土审（02）〔2023〕</w:t>
      </w:r>
      <w:r>
        <w:rPr>
          <w:rFonts w:hint="eastAsia" w:ascii="仿宋_GB2312" w:hAnsi="仿宋_GB2312" w:eastAsia="仿宋_GB2312" w:cs="仿宋_GB2312"/>
          <w:color w:val="000000"/>
          <w:sz w:val="32"/>
          <w:szCs w:val="32"/>
          <w:lang w:val="en-US" w:eastAsia="zh-CN"/>
        </w:rPr>
        <w:t>75</w:t>
      </w:r>
      <w:r>
        <w:rPr>
          <w:rFonts w:hint="eastAsia" w:ascii="仿宋_GB2312" w:hAnsi="仿宋_GB2312" w:eastAsia="仿宋_GB2312" w:cs="仿宋_GB2312"/>
          <w:color w:val="000000"/>
          <w:sz w:val="32"/>
          <w:szCs w:val="32"/>
        </w:rPr>
        <w:t>号</w:t>
      </w:r>
    </w:p>
    <w:p>
      <w:pPr>
        <w:spacing w:line="600" w:lineRule="exact"/>
        <w:jc w:val="center"/>
        <w:rPr>
          <w:rFonts w:ascii="方正小标宋简体" w:hAnsi="方正小标宋简体" w:eastAsia="方正小标宋简体" w:cs="方正小标宋简体"/>
          <w:bCs/>
          <w:sz w:val="44"/>
          <w:szCs w:val="44"/>
        </w:rPr>
      </w:pPr>
    </w:p>
    <w:p>
      <w:pPr>
        <w:spacing w:line="560" w:lineRule="exact"/>
        <w:jc w:val="center"/>
        <w:rPr>
          <w:rFonts w:eastAsia="方正小标宋简体"/>
          <w:color w:val="000000"/>
          <w:sz w:val="44"/>
          <w:szCs w:val="44"/>
        </w:rPr>
      </w:pPr>
      <w:r>
        <w:rPr>
          <w:rFonts w:hint="eastAsia" w:eastAsia="方正小标宋简体"/>
          <w:color w:val="000000"/>
          <w:sz w:val="44"/>
          <w:szCs w:val="44"/>
        </w:rPr>
        <w:t>广东省人民政府关于</w:t>
      </w:r>
      <w:r>
        <w:rPr>
          <w:rFonts w:eastAsia="方正小标宋简体"/>
          <w:color w:val="000000"/>
          <w:sz w:val="44"/>
          <w:szCs w:val="44"/>
        </w:rPr>
        <w:t>广州市</w:t>
      </w:r>
      <w:r>
        <w:rPr>
          <w:rFonts w:hint="eastAsia" w:eastAsia="方正小标宋简体"/>
          <w:color w:val="000000"/>
          <w:sz w:val="44"/>
          <w:szCs w:val="44"/>
        </w:rPr>
        <w:t>增城</w:t>
      </w:r>
      <w:r>
        <w:rPr>
          <w:rFonts w:eastAsia="方正小标宋简体"/>
          <w:color w:val="000000"/>
          <w:sz w:val="44"/>
          <w:szCs w:val="44"/>
        </w:rPr>
        <w:t>区</w:t>
      </w:r>
      <w:r>
        <w:rPr>
          <w:rFonts w:hint="eastAsia" w:eastAsia="方正小标宋简体"/>
          <w:color w:val="000000"/>
          <w:sz w:val="44"/>
          <w:szCs w:val="44"/>
        </w:rPr>
        <w:t>202</w:t>
      </w:r>
      <w:r>
        <w:rPr>
          <w:rFonts w:hint="eastAsia" w:eastAsia="方正小标宋简体"/>
          <w:color w:val="000000"/>
          <w:sz w:val="44"/>
          <w:szCs w:val="44"/>
          <w:lang w:val="en-US" w:eastAsia="zh-CN"/>
        </w:rPr>
        <w:t>3</w:t>
      </w:r>
      <w:r>
        <w:rPr>
          <w:rFonts w:eastAsia="方正小标宋简体"/>
          <w:color w:val="000000"/>
          <w:sz w:val="44"/>
          <w:szCs w:val="44"/>
        </w:rPr>
        <w:t>年度第</w:t>
      </w:r>
      <w:r>
        <w:rPr>
          <w:rFonts w:hint="eastAsia" w:eastAsia="方正小标宋简体"/>
          <w:color w:val="000000"/>
          <w:sz w:val="44"/>
          <w:szCs w:val="44"/>
          <w:lang w:val="en-US" w:eastAsia="zh-CN"/>
        </w:rPr>
        <w:t>三</w:t>
      </w:r>
      <w:r>
        <w:rPr>
          <w:rFonts w:eastAsia="方正小标宋简体"/>
          <w:color w:val="000000"/>
          <w:sz w:val="44"/>
          <w:szCs w:val="44"/>
        </w:rPr>
        <w:t>批次城镇建设用地</w:t>
      </w:r>
      <w:r>
        <w:rPr>
          <w:rFonts w:hint="eastAsia" w:eastAsia="方正小标宋简体"/>
          <w:color w:val="000000"/>
          <w:sz w:val="44"/>
          <w:szCs w:val="44"/>
        </w:rPr>
        <w:t>（增减挂钩）的批复</w:t>
      </w:r>
    </w:p>
    <w:p>
      <w:pPr>
        <w:spacing w:line="580" w:lineRule="exact"/>
        <w:jc w:val="center"/>
        <w:rPr>
          <w:rFonts w:eastAsia="楷体_GB2312"/>
          <w:bCs/>
          <w:sz w:val="32"/>
          <w:szCs w:val="32"/>
        </w:rPr>
      </w:pPr>
    </w:p>
    <w:p>
      <w:pPr>
        <w:widowControl/>
        <w:spacing w:line="600" w:lineRule="exact"/>
        <w:jc w:val="center"/>
        <w:textAlignment w:val="baseline"/>
        <w:rPr>
          <w:b/>
          <w:sz w:val="32"/>
          <w:szCs w:val="32"/>
        </w:rPr>
      </w:pPr>
    </w:p>
    <w:p>
      <w:pPr>
        <w:widowControl/>
        <w:spacing w:line="560" w:lineRule="exact"/>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pPr>
        <w:widowControl/>
        <w:spacing w:line="560" w:lineRule="exact"/>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《广州市规划和自然资源局关于审批广州市增城区202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批次城镇建设用地（增减挂钩）的请示》（穗规划资源（用地）报〔</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广州市</w:t>
      </w:r>
      <w:r>
        <w:rPr>
          <w:rFonts w:hint="eastAsia" w:ascii="仿宋_GB2312" w:hAnsi="仿宋_GB2312" w:eastAsia="仿宋_GB2312" w:cs="仿宋_GB2312"/>
          <w:sz w:val="32"/>
          <w:szCs w:val="32"/>
        </w:rPr>
        <w:t>增城区人民政府关于申请202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批次城镇建设用地（增减挂钩）土地征收的请示》（增府报〔2023〕</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及相关材料已通过审核。根据《中华人民共和国土地管理法》第四十四、四十五、四十六条的有关规定，批复如下：</w:t>
      </w:r>
    </w:p>
    <w:p>
      <w:pPr>
        <w:widowControl/>
        <w:numPr>
          <w:ilvl w:val="0"/>
          <w:numId w:val="1"/>
        </w:numPr>
        <w:spacing w:line="560" w:lineRule="exact"/>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该批次用地属使用</w:t>
      </w:r>
      <w:r>
        <w:rPr>
          <w:rFonts w:hint="eastAsia" w:ascii="仿宋_GB2312" w:hAnsi="仿宋_GB2312" w:eastAsia="仿宋_GB2312" w:cs="仿宋_GB2312"/>
          <w:sz w:val="32"/>
          <w:szCs w:val="32"/>
          <w:lang w:val="zh-CN"/>
        </w:rPr>
        <w:t>跨省调剂城乡建设用地增减挂钩节余指标的用地，建新方案已获批复（粤自然资（穗）函〔</w:t>
      </w: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），不再单独办理农用地转用审批手续。</w:t>
      </w:r>
    </w:p>
    <w:p>
      <w:pPr>
        <w:pStyle w:val="7"/>
        <w:widowControl w:val="0"/>
        <w:autoSpaceDE w:val="0"/>
        <w:autoSpaceDN w:val="0"/>
        <w:spacing w:line="58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二、同意使用11.8694公顷城镇建设用地，即同意你市将增城区</w:t>
      </w:r>
      <w:r>
        <w:rPr>
          <w:rFonts w:hint="eastAsia" w:ascii="仿宋_GB2312" w:hAnsi="仿宋_GB2312" w:eastAsia="仿宋_GB2312" w:cs="仿宋_GB2312"/>
          <w:color w:val="000000"/>
          <w:szCs w:val="32"/>
        </w:rPr>
        <w:t>永宁街长岗村矮岗股份经济合作社属下的集体土地共</w:t>
      </w:r>
      <w:r>
        <w:rPr>
          <w:rFonts w:hint="eastAsia" w:ascii="仿宋_GB2312" w:hAnsi="仿宋_GB2312" w:eastAsia="仿宋_GB2312" w:cs="仿宋_GB2312"/>
          <w:szCs w:val="32"/>
        </w:rPr>
        <w:t>11.8694</w:t>
      </w:r>
      <w:r>
        <w:rPr>
          <w:rFonts w:hint="eastAsia" w:ascii="仿宋_GB2312" w:hAnsi="仿宋_GB2312" w:eastAsia="仿宋_GB2312" w:cs="仿宋_GB2312"/>
          <w:color w:val="000000"/>
          <w:szCs w:val="32"/>
        </w:rPr>
        <w:t>公顷</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其中耕地3.</w:t>
      </w:r>
      <w:r>
        <w:rPr>
          <w:rFonts w:hint="eastAsia" w:ascii="仿宋_GB2312" w:hAnsi="仿宋_GB2312" w:eastAsia="仿宋_GB2312" w:cs="仿宋_GB2312"/>
          <w:szCs w:val="32"/>
          <w:lang w:val="en-US" w:eastAsia="zh-CN"/>
        </w:rPr>
        <w:t>1260</w:t>
      </w:r>
      <w:r>
        <w:rPr>
          <w:rFonts w:hint="eastAsia" w:ascii="仿宋_GB2312" w:hAnsi="仿宋_GB2312" w:eastAsia="仿宋_GB2312" w:cs="仿宋_GB2312"/>
          <w:szCs w:val="32"/>
        </w:rPr>
        <w:t>公顷），以上合计11.8694公顷集体土地一并办理征地手续，上述土地（合计11.8694公顷）经完善征收手续后由</w:t>
      </w:r>
      <w:r>
        <w:rPr>
          <w:rFonts w:hint="eastAsia" w:ascii="仿宋_GB2312" w:hAnsi="仿宋_GB2312" w:eastAsia="仿宋_GB2312" w:cs="仿宋_GB2312"/>
          <w:color w:val="000000"/>
          <w:kern w:val="0"/>
          <w:szCs w:val="32"/>
        </w:rPr>
        <w:t>当地人民政府按照土地利用总体规划和城乡规划确定的用途供应</w:t>
      </w:r>
      <w:r>
        <w:rPr>
          <w:rFonts w:hint="eastAsia" w:ascii="仿宋_GB2312" w:hAnsi="仿宋_GB2312" w:eastAsia="仿宋_GB2312" w:cs="仿宋_GB2312"/>
          <w:color w:val="000000"/>
          <w:szCs w:val="32"/>
        </w:rPr>
        <w:t>。</w:t>
      </w:r>
    </w:p>
    <w:p>
      <w:pPr>
        <w:widowControl/>
        <w:spacing w:line="560" w:lineRule="exact"/>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000000"/>
          <w:kern w:val="0"/>
          <w:sz w:val="32"/>
          <w:szCs w:val="32"/>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w:t>
      </w:r>
    </w:p>
    <w:p>
      <w:pPr>
        <w:widowControl/>
        <w:spacing w:line="560" w:lineRule="exact"/>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rPr>
        <w:t>使用土地涉及有关税费的收缴或调整，请按有关规定办理。</w:t>
      </w:r>
    </w:p>
    <w:p>
      <w:pPr>
        <w:widowControl/>
        <w:spacing w:line="560" w:lineRule="exact"/>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五、征地批后实施情况和具体项目供地情况须按规定报备。</w:t>
      </w:r>
    </w:p>
    <w:p>
      <w:pPr>
        <w:widowControl/>
        <w:spacing w:line="600" w:lineRule="exact"/>
        <w:textAlignment w:val="baseline"/>
        <w:rPr>
          <w:rFonts w:hint="eastAsia" w:ascii="仿宋_GB2312" w:hAnsi="仿宋_GB2312" w:eastAsia="仿宋_GB2312" w:cs="仿宋_GB2312"/>
          <w:sz w:val="32"/>
          <w:szCs w:val="32"/>
        </w:rPr>
      </w:pPr>
    </w:p>
    <w:p>
      <w:pPr>
        <w:widowControl/>
        <w:spacing w:line="600" w:lineRule="exact"/>
        <w:textAlignment w:val="baseline"/>
        <w:rPr>
          <w:rFonts w:hint="eastAsia" w:ascii="仿宋_GB2312" w:hAnsi="仿宋_GB2312" w:eastAsia="仿宋_GB2312" w:cs="仿宋_GB2312"/>
          <w:sz w:val="32"/>
          <w:szCs w:val="32"/>
        </w:rPr>
      </w:pPr>
    </w:p>
    <w:p>
      <w:pPr>
        <w:widowControl/>
        <w:spacing w:line="600" w:lineRule="exact"/>
        <w:ind w:firstLine="645"/>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广东省人民政府</w:t>
      </w:r>
    </w:p>
    <w:p>
      <w:pPr>
        <w:widowControl/>
        <w:spacing w:line="600" w:lineRule="exact"/>
        <w:ind w:firstLine="645"/>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pPr>
        <w:widowControl/>
        <w:spacing w:line="600" w:lineRule="exact"/>
        <w:textAlignment w:val="baseline"/>
        <w:rPr>
          <w:rFonts w:eastAsia="仿宋_GB2312"/>
          <w:sz w:val="32"/>
          <w:szCs w:val="32"/>
        </w:rPr>
      </w:pPr>
    </w:p>
    <w:p>
      <w:pPr>
        <w:pStyle w:val="2"/>
        <w:rPr>
          <w:rFonts w:eastAsia="仿宋_GB2312"/>
          <w:sz w:val="32"/>
          <w:szCs w:val="32"/>
        </w:rPr>
      </w:pPr>
      <w:bookmarkStart w:id="0" w:name="_GoBack"/>
      <w:bookmarkEnd w:id="0"/>
    </w:p>
    <w:p>
      <w:pPr>
        <w:rPr>
          <w:rFonts w:eastAsia="仿宋_GB2312"/>
          <w:sz w:val="32"/>
          <w:szCs w:val="32"/>
        </w:rPr>
      </w:pPr>
    </w:p>
    <w:p>
      <w:pPr>
        <w:pStyle w:val="2"/>
      </w:pPr>
    </w:p>
    <w:p>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pPr>
        <w:spacing w:line="600" w:lineRule="exact"/>
        <w:ind w:left="895" w:hanging="895" w:hangingChars="324"/>
        <w:rPr>
          <w:sz w:val="28"/>
          <w:szCs w:val="28"/>
        </w:rPr>
      </w:pPr>
      <w:r>
        <w:rPr>
          <w:rFonts w:hint="eastAsia" w:eastAsia="仿宋_GB2312"/>
          <w:sz w:val="28"/>
          <w:szCs w:val="28"/>
        </w:rPr>
        <w:t>抄送：国家自然资源督察广州局，财政部广东监管局，省财政厅、省人力资源和社会保障厅、省自然资源厅、省农业农村厅、国家税务总局广东省税务局，省林业局。</w:t>
      </w:r>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Pr>
    </w:pPr>
    <w:r>
      <w:fldChar w:fldCharType="begin"/>
    </w:r>
    <w:r>
      <w:rPr>
        <w:rStyle w:val="5"/>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2F2204"/>
    <w:rsid w:val="00802A9A"/>
    <w:rsid w:val="00BE2876"/>
    <w:rsid w:val="00F16B3F"/>
    <w:rsid w:val="052C361D"/>
    <w:rsid w:val="0B740371"/>
    <w:rsid w:val="0CBC3120"/>
    <w:rsid w:val="2230377B"/>
    <w:rsid w:val="263A4C23"/>
    <w:rsid w:val="27A55E57"/>
    <w:rsid w:val="289E7910"/>
    <w:rsid w:val="2A485BF2"/>
    <w:rsid w:val="336C1E59"/>
    <w:rsid w:val="33C256F8"/>
    <w:rsid w:val="3A3C63BB"/>
    <w:rsid w:val="46AB4FFC"/>
    <w:rsid w:val="49B72C5D"/>
    <w:rsid w:val="4AB3582C"/>
    <w:rsid w:val="530A1EFA"/>
    <w:rsid w:val="5C2F2204"/>
    <w:rsid w:val="62943F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adjustRightInd w:val="0"/>
      <w:spacing w:line="720" w:lineRule="exact"/>
      <w:jc w:val="center"/>
      <w:textAlignment w:val="baseline"/>
      <w:outlineLvl w:val="0"/>
    </w:pPr>
    <w:rPr>
      <w:rFonts w:ascii="方正小标宋简体" w:eastAsia="方正小标宋简体"/>
      <w:kern w:val="44"/>
      <w:sz w:val="44"/>
      <w:szCs w:val="44"/>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121</Words>
  <Characters>695</Characters>
  <Lines>5</Lines>
  <Paragraphs>1</Paragraphs>
  <ScaleCrop>false</ScaleCrop>
  <LinksUpToDate>false</LinksUpToDate>
  <CharactersWithSpaces>815</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2023-03-16T03:46:00Z</dcterms:created>
  <dc:creator>吕亮</dc:creator>
  <cp:lastModifiedBy>李依琪</cp:lastModifiedBy>
  <dcterms:modified xsi:type="dcterms:W3CDTF">2023-06-30T07:44:30Z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