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right"/>
        <w:textAlignment w:val="auto"/>
        <w:rPr>
          <w:rFonts w:hint="default"/>
          <w:lang w:eastAsia="zh-CN"/>
        </w:rPr>
      </w:pPr>
      <w:r>
        <w:rPr>
          <w:rFonts w:hint="default" w:ascii="Times New Roman" w:hAnsi="Times New Roman" w:eastAsia="仿宋_GB2312" w:cs="Times New Roman"/>
          <w:kern w:val="0"/>
          <w:sz w:val="32"/>
          <w:szCs w:val="32"/>
          <w:lang w:eastAsia="zh-CN"/>
        </w:rPr>
        <w:t>粤府土审</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eastAsia="zh-CN"/>
        </w:rPr>
        <w:t>02</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eastAsia="zh-CN"/>
        </w:rPr>
        <w:t>〔2023〕40号</w:t>
      </w: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right"/>
        <w:textAlignment w:val="auto"/>
        <w:rPr>
          <w:rFonts w:hint="default" w:ascii="Times New Roman" w:hAnsi="Times New Roman" w:eastAsia="仿宋_GB2312" w:cs="Times New Roman"/>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default" w:ascii="Times New Roman" w:hAnsi="Times New Roman" w:eastAsia="方正小标宋简体" w:cs="Times New Roman"/>
          <w:lang w:eastAsia="zh-CN"/>
        </w:rPr>
      </w:pPr>
      <w:r>
        <w:rPr>
          <w:rFonts w:hint="default" w:ascii="Times New Roman" w:hAnsi="Times New Roman" w:eastAsia="方正小标宋简体" w:cs="Times New Roman"/>
          <w:kern w:val="0"/>
          <w:sz w:val="44"/>
          <w:szCs w:val="44"/>
          <w:lang w:eastAsia="zh-CN"/>
        </w:rPr>
        <w:t>广东省人民政府关于广州市花都区</w:t>
      </w:r>
      <w:r>
        <w:rPr>
          <w:rFonts w:hint="default" w:ascii="Times New Roman" w:hAnsi="Times New Roman" w:eastAsia="方正小标宋简体" w:cs="Times New Roman"/>
          <w:kern w:val="0"/>
          <w:sz w:val="44"/>
          <w:szCs w:val="44"/>
          <w:lang w:val="en-US" w:eastAsia="zh-CN"/>
        </w:rPr>
        <w:t>2022</w:t>
      </w:r>
      <w:r>
        <w:rPr>
          <w:rFonts w:hint="default" w:ascii="Times New Roman" w:hAnsi="Times New Roman" w:eastAsia="方正小标宋简体" w:cs="Times New Roman"/>
          <w:kern w:val="0"/>
          <w:sz w:val="44"/>
          <w:szCs w:val="44"/>
          <w:lang w:eastAsia="zh-CN"/>
        </w:rPr>
        <w:t>年度第三十三批次城镇建设用地的批复</w:t>
      </w: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rPr>
          <w:rFonts w:hint="default" w:ascii="Times New Roman" w:hAnsi="Times New Roman" w:eastAsia="仿宋_GB2312" w:cs="Times New Roman"/>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广州市人民政府:</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《广州市规划和自然资源局关于审批广州市花都区2022年度第三十三批次城镇建设用地的请示》（穗规划资源（用地）报〔</w:t>
      </w:r>
      <w:r>
        <w:rPr>
          <w:rFonts w:hint="default" w:ascii="Times New Roman" w:hAnsi="Times New Roman" w:eastAsia="仿宋_GB2312" w:cs="Times New Roman"/>
          <w:kern w:val="0"/>
          <w:sz w:val="32"/>
          <w:szCs w:val="32"/>
          <w:lang w:val="en-US" w:eastAsia="zh-CN"/>
        </w:rPr>
        <w:t>2023</w:t>
      </w:r>
      <w:r>
        <w:rPr>
          <w:rFonts w:hint="default" w:ascii="Times New Roman" w:hAnsi="Times New Roman" w:eastAsia="仿宋_GB2312" w:cs="Times New Roman"/>
          <w:kern w:val="0"/>
          <w:sz w:val="32"/>
          <w:szCs w:val="32"/>
          <w:lang w:eastAsia="zh-CN"/>
        </w:rPr>
        <w:t>〕47号）、《广州市花都区人民政府关于申请广州市花都区2022年度第三十三批次城镇建设用地土地征收的请示》（花府字〔</w:t>
      </w:r>
      <w:r>
        <w:rPr>
          <w:rFonts w:hint="default" w:ascii="Times New Roman" w:hAnsi="Times New Roman" w:eastAsia="仿宋_GB2312" w:cs="Times New Roman"/>
          <w:kern w:val="0"/>
          <w:sz w:val="32"/>
          <w:szCs w:val="32"/>
          <w:lang w:val="en-US" w:eastAsia="zh-CN"/>
        </w:rPr>
        <w:t>2023</w:t>
      </w:r>
      <w:r>
        <w:rPr>
          <w:rFonts w:hint="default" w:ascii="Times New Roman" w:hAnsi="Times New Roman" w:eastAsia="仿宋_GB2312" w:cs="Times New Roman"/>
          <w:kern w:val="0"/>
          <w:sz w:val="32"/>
          <w:szCs w:val="32"/>
          <w:lang w:eastAsia="zh-CN"/>
        </w:rPr>
        <w:t>〕13号）及相关材料已通过审核。根据《中华人民共和国土地管理法》第四十四、四十五、四十六条以及《广东省土地管理条例》第二十五条的有关规定，批复如下:</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val="en-US" w:eastAsia="zh-CN"/>
        </w:rPr>
        <w:t>一、</w:t>
      </w:r>
      <w:r>
        <w:rPr>
          <w:rFonts w:hint="default" w:ascii="Times New Roman" w:hAnsi="Times New Roman" w:eastAsia="仿宋_GB2312" w:cs="Times New Roman"/>
          <w:kern w:val="0"/>
          <w:sz w:val="32"/>
          <w:szCs w:val="32"/>
          <w:lang w:eastAsia="zh-CN"/>
        </w:rPr>
        <w:t>同意使用1.9441公顷城镇建设用地，即同意你市将花都区秀全街乐同村古塘经济合作社属下的集体农用地1.8875公顷（其中耕地1.3882公顷）、未利用地0.0480公顷转为建设用地，同时使用上述有关村集体建设用地0.0086公顷，以上合计1.9441公顷集体土地一并办理征地手续。上述土地（合计1.9441公顷）经完善相关手续后由当地人民政府按照土地利用总体规划和城乡规划确定的用途供应。</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二、请你市人民政府负责落实补充耕地。督促补充耕地责任单位认真落实耕地占补平衡，补充数量相等、质量相当的耕地，对应核销耕地数量、水田规模和标准粮食产能指标（确认信息编号：440000202215035003），落实建设占用耕地耕作层土壤剥离利用。</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三、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eastAsia="zh-CN"/>
        </w:rPr>
        <w:t>四、使用土地涉及有关税费的收缴或调整，请按有关规定办</w:t>
      </w:r>
      <w:r>
        <w:rPr>
          <w:rFonts w:hint="default" w:ascii="Times New Roman" w:hAnsi="Times New Roman" w:eastAsia="仿宋_GB2312" w:cs="Times New Roman"/>
          <w:kern w:val="0"/>
          <w:sz w:val="32"/>
          <w:szCs w:val="32"/>
          <w:lang w:val="en-US" w:eastAsia="zh-CN"/>
        </w:rPr>
        <w:t>理。</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五、征地批后实施情况和具体项目供地情况须按规定报备。</w:t>
      </w:r>
    </w:p>
    <w:p>
      <w:pPr>
        <w:pStyle w:val="2"/>
        <w:pageBreakBefore w:val="0"/>
        <w:widowControl w:val="0"/>
        <w:kinsoku/>
        <w:wordWrap/>
        <w:overflowPunct/>
        <w:topLinePunct w:val="0"/>
        <w:autoSpaceDE/>
        <w:autoSpaceDN/>
        <w:bidi w:val="0"/>
        <w:adjustRightInd/>
        <w:snapToGrid/>
        <w:spacing w:before="0" w:after="0" w:line="560" w:lineRule="exact"/>
        <w:ind w:left="0" w:right="0" w:firstLine="0" w:firstLineChars="0"/>
        <w:jc w:val="right"/>
        <w:textAlignment w:val="auto"/>
        <w:rPr>
          <w:rFonts w:hint="default" w:ascii="Times New Roman" w:hAnsi="Times New Roman" w:eastAsia="仿宋_GB2312" w:cs="Times New Roman"/>
          <w:kern w:val="0"/>
          <w:sz w:val="32"/>
          <w:szCs w:val="32"/>
          <w:lang w:eastAsia="zh-CN"/>
        </w:rPr>
      </w:pPr>
    </w:p>
    <w:p>
      <w:pPr>
        <w:rPr>
          <w:rFonts w:hint="default" w:ascii="Times New Roman" w:hAnsi="Times New Roman" w:cs="Times New Roman"/>
          <w:lang w:eastAsia="zh-CN"/>
        </w:rPr>
      </w:pPr>
    </w:p>
    <w:p>
      <w:pPr>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 xml:space="preserve">                                        广东省人民政府</w:t>
      </w:r>
    </w:p>
    <w:p>
      <w:pPr>
        <w:pageBreakBefore w:val="0"/>
        <w:widowControl w:val="0"/>
        <w:kinsoku/>
        <w:wordWrap/>
        <w:overflowPunct/>
        <w:topLinePunct w:val="0"/>
        <w:autoSpaceDE/>
        <w:autoSpaceDN/>
        <w:bidi w:val="0"/>
        <w:adjustRightInd/>
        <w:snapToGrid/>
        <w:spacing w:line="560" w:lineRule="exact"/>
        <w:ind w:left="0" w:right="0" w:firstLine="0" w:firstLineChars="0"/>
        <w:jc w:val="right"/>
        <w:textAlignment w:val="auto"/>
        <w:rPr>
          <w:rFonts w:hint="default" w:ascii="Times New Roman" w:hAnsi="Times New Roman" w:cs="Times New Roman"/>
          <w:lang w:val="en-US" w:eastAsia="zh-CN"/>
        </w:rPr>
      </w:pPr>
      <w:r>
        <w:rPr>
          <w:rFonts w:hint="default" w:ascii="Times New Roman" w:hAnsi="Times New Roman" w:eastAsia="仿宋_GB2312" w:cs="Times New Roman"/>
          <w:kern w:val="0"/>
          <w:sz w:val="32"/>
          <w:szCs w:val="32"/>
          <w:lang w:val="en-US" w:eastAsia="zh-CN"/>
        </w:rPr>
        <w:t>2023年3月29日</w:t>
      </w:r>
    </w:p>
    <w:sectPr>
      <w:pgSz w:w="11906" w:h="16838"/>
      <w:pgMar w:top="1440" w:right="1417"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wMWEzYTk1NWU3MWFhZmYyNmFlYTg3YmE3MzY3NmIifQ=="/>
  </w:docVars>
  <w:rsids>
    <w:rsidRoot w:val="24EC2A9D"/>
    <w:rsid w:val="24EC2A9D"/>
    <w:rsid w:val="72047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2023-04-17T03:00:00Z</dcterms:created>
  <dc:creator>Tnianj</dc:creator>
  <cp:lastModifiedBy>陈永权</cp:lastModifiedBy>
  <dcterms:modified xsi:type="dcterms:W3CDTF">2023-04-24T10:11:41Z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D575C768927E46BDA85ECB6F8790BF59_11</vt:lpwstr>
  </property>
</Properties>
</file>