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2023年度第十一批次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广州市黄埔区新龙镇福山村岐一经济合作社</w:t>
      </w:r>
      <w:r>
        <w:rPr>
          <w:rFonts w:hint="eastAsia" w:ascii="Times New Roman" w:hAnsi="Times New Roman" w:eastAsia="仿宋_GB2312" w:cs="Times New Roman"/>
          <w:color w:val="000000"/>
          <w:sz w:val="32"/>
          <w:szCs w:val="32"/>
          <w:lang w:eastAsia="zh-CN" w:bidi="ar"/>
        </w:rPr>
        <w:t>、福山村岐二经济合作社、福山村经济联合社、福山村大田经济合作社、福山村坪山经济合作社、福山村库一经济合作社、福山村库二经济合作社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46.6180</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广州市黄埔区新龙镇福山村岐一经济合作社</w:t>
      </w:r>
      <w:r>
        <w:rPr>
          <w:rFonts w:hint="eastAsia" w:ascii="Times New Roman" w:hAnsi="Times New Roman" w:eastAsia="仿宋_GB2312" w:cs="Times New Roman"/>
          <w:color w:val="000000"/>
          <w:sz w:val="32"/>
          <w:szCs w:val="32"/>
          <w:lang w:eastAsia="zh-CN" w:bidi="ar"/>
        </w:rPr>
        <w:t>、福山村岐二经济合作社、福山村经济联合社、福山村大田经济合作社、福山村坪山经济合作社、福山村库一经济合作社、福山村库二经济合作社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46.6180</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46.6180</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44.5704</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val="en-US" w:eastAsia="zh-CN" w:bidi="ar"/>
        </w:rPr>
        <w:t>、草地1.5893公顷、</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0.4583</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广州市黄埔区新龙镇福山村岐一经济合作社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1.0845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76.1319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135.3456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211.4775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广州市黄埔区新龙镇福山村岐二经济合作社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8.1105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569.3571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1012.1904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1581.5475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广州市黄埔区新龙镇福山村经济联合社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9.0376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634.4395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1127.8925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1762.3320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广州市黄埔区新龙镇福山村大田经济合作社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bCs/>
                <w:color w:val="000000"/>
                <w:kern w:val="0"/>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0.0272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1.9094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3.3946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5.3040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广州市黄埔区新龙镇福山村坪山经济合作社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25.0270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1756.8954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3123.3696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4880.2650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广州市黄埔区新龙镇福山村库一经济合作社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1.5360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107.8272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191.6928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299.5200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广州市黄埔区新龙镇福山村库二经济合作社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1.7952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126.0230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224.0410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350.0640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46.6180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3272.5835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5817.9265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9090.5100 </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及地上附着物补偿费共3006.8611万元</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tbl>
      <w:tblPr>
        <w:tblStyle w:val="2"/>
        <w:tblpPr w:leftFromText="180" w:rightFromText="180" w:vertAnchor="text" w:horzAnchor="page" w:tblpX="1336" w:tblpY="4142"/>
        <w:tblOverlap w:val="never"/>
        <w:tblW w:w="9781" w:type="dxa"/>
        <w:tblInd w:w="0" w:type="dxa"/>
        <w:tblLayout w:type="autofit"/>
        <w:tblCellMar>
          <w:top w:w="0" w:type="dxa"/>
          <w:left w:w="108" w:type="dxa"/>
          <w:bottom w:w="0" w:type="dxa"/>
          <w:right w:w="108" w:type="dxa"/>
        </w:tblCellMar>
      </w:tblPr>
      <w:tblGrid>
        <w:gridCol w:w="4536"/>
        <w:gridCol w:w="5245"/>
      </w:tblGrid>
      <w:tr>
        <w:tblPrEx>
          <w:tblCellMar>
            <w:top w:w="0" w:type="dxa"/>
            <w:left w:w="108" w:type="dxa"/>
            <w:bottom w:w="0" w:type="dxa"/>
            <w:right w:w="108" w:type="dxa"/>
          </w:tblCellMar>
        </w:tblPrEx>
        <w:tc>
          <w:tcPr>
            <w:tcW w:w="45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0"/>
            <w:vAlign w:val="top"/>
          </w:tcPr>
          <w:p>
            <w:pPr>
              <w:rPr>
                <w:rFonts w:hint="eastAsia"/>
              </w:rPr>
            </w:pPr>
          </w:p>
        </w:tc>
        <w:tc>
          <w:tcPr>
            <w:tcW w:w="524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0"/>
            <w:vAlign w:val="top"/>
          </w:tcPr>
          <w:p>
            <w:pPr>
              <w:tabs>
                <w:tab w:val="left" w:pos="4712"/>
              </w:tabs>
              <w:spacing w:line="520" w:lineRule="exact"/>
              <w:ind w:right="-108"/>
              <w:jc w:val="center"/>
              <w:rPr>
                <w:rFonts w:hint="eastAsia"/>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bookmarkStart w:id="0" w:name="_GoBack"/>
      <w:bookmarkEnd w:id="0"/>
    </w:p>
    <w:tbl>
      <w:tblPr>
        <w:tblStyle w:val="2"/>
        <w:tblpPr w:leftFromText="180" w:rightFromText="180" w:vertAnchor="text" w:horzAnchor="page" w:tblpX="1195" w:tblpY="183"/>
        <w:tblOverlap w:val="never"/>
        <w:tblW w:w="9781" w:type="dxa"/>
        <w:tblInd w:w="0" w:type="dxa"/>
        <w:tblLayout w:type="autofit"/>
        <w:tblCellMar>
          <w:top w:w="0" w:type="dxa"/>
          <w:left w:w="108" w:type="dxa"/>
          <w:bottom w:w="0" w:type="dxa"/>
          <w:right w:w="108" w:type="dxa"/>
        </w:tblCellMar>
      </w:tblPr>
      <w:tblGrid>
        <w:gridCol w:w="4536"/>
        <w:gridCol w:w="5245"/>
      </w:tblGrid>
      <w:tr>
        <w:tblPrEx>
          <w:tblCellMar>
            <w:top w:w="0" w:type="dxa"/>
            <w:left w:w="108" w:type="dxa"/>
            <w:bottom w:w="0" w:type="dxa"/>
            <w:right w:w="108" w:type="dxa"/>
          </w:tblCellMar>
        </w:tblPrEx>
        <w:tc>
          <w:tcPr>
            <w:tcW w:w="4536"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noWrap w:val="0"/>
            <w:vAlign w:val="top"/>
          </w:tcPr>
          <w:p>
            <w:pPr>
              <w:rPr>
                <w:rFonts w:hint="eastAsia"/>
              </w:rPr>
            </w:pPr>
            <w:r>
              <w:rPr>
                <w:rFonts w:hint="eastAsia" w:eastAsia="仿宋_GB2312"/>
                <w:sz w:val="32"/>
                <w:szCs w:val="32"/>
              </w:rPr>
              <w:t>广州开发区规划和自然资源局</w:t>
            </w:r>
          </w:p>
        </w:tc>
        <w:tc>
          <w:tcPr>
            <w:tcW w:w="5245"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noWrap w:val="0"/>
            <w:vAlign w:val="top"/>
          </w:tcPr>
          <w:p>
            <w:pPr>
              <w:tabs>
                <w:tab w:val="left" w:pos="4826"/>
              </w:tabs>
              <w:spacing w:line="520" w:lineRule="exact"/>
              <w:ind w:right="-654"/>
              <w:rPr>
                <w:rFonts w:hint="eastAsia" w:eastAsia="仿宋_GB2312"/>
                <w:sz w:val="32"/>
                <w:szCs w:val="32"/>
              </w:rPr>
            </w:pPr>
            <w:r>
              <w:rPr>
                <w:rFonts w:hint="eastAsia" w:eastAsia="仿宋_GB2312"/>
                <w:sz w:val="32"/>
                <w:szCs w:val="32"/>
              </w:rPr>
              <w:t>广州市规划和自然资源局黄埔区分局</w:t>
            </w:r>
          </w:p>
          <w:p>
            <w:pPr>
              <w:tabs>
                <w:tab w:val="left" w:pos="4712"/>
              </w:tabs>
              <w:spacing w:line="520" w:lineRule="exact"/>
              <w:ind w:right="-108"/>
              <w:jc w:val="center"/>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23年4月24</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p>
    <w:sectPr>
      <w:pgSz w:w="11906" w:h="16838"/>
      <w:pgMar w:top="1417" w:right="1587"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6F904891"/>
    <w:rsid w:val="001572D6"/>
    <w:rsid w:val="043D5409"/>
    <w:rsid w:val="06B44636"/>
    <w:rsid w:val="07EC610C"/>
    <w:rsid w:val="0F653D08"/>
    <w:rsid w:val="0F9073D0"/>
    <w:rsid w:val="11286134"/>
    <w:rsid w:val="11DB1F22"/>
    <w:rsid w:val="1305476D"/>
    <w:rsid w:val="14234C20"/>
    <w:rsid w:val="15390318"/>
    <w:rsid w:val="17EC7BCA"/>
    <w:rsid w:val="18243F2C"/>
    <w:rsid w:val="1A8B0AEC"/>
    <w:rsid w:val="1B8368F3"/>
    <w:rsid w:val="236D51B4"/>
    <w:rsid w:val="2591116E"/>
    <w:rsid w:val="26DE174A"/>
    <w:rsid w:val="28F12E95"/>
    <w:rsid w:val="2ABE5B1A"/>
    <w:rsid w:val="2D063B65"/>
    <w:rsid w:val="2FA951A8"/>
    <w:rsid w:val="337B4EAB"/>
    <w:rsid w:val="39DF0BD7"/>
    <w:rsid w:val="40637CF9"/>
    <w:rsid w:val="4137018A"/>
    <w:rsid w:val="41F5678E"/>
    <w:rsid w:val="430309FB"/>
    <w:rsid w:val="43CF14AC"/>
    <w:rsid w:val="45943EE9"/>
    <w:rsid w:val="482927C3"/>
    <w:rsid w:val="4D8B5B2D"/>
    <w:rsid w:val="51D04C64"/>
    <w:rsid w:val="52180177"/>
    <w:rsid w:val="538B4DA7"/>
    <w:rsid w:val="555111B5"/>
    <w:rsid w:val="5B8E59E1"/>
    <w:rsid w:val="5B9916F5"/>
    <w:rsid w:val="5F0F39F7"/>
    <w:rsid w:val="5FD03B44"/>
    <w:rsid w:val="60D463C4"/>
    <w:rsid w:val="61834DEC"/>
    <w:rsid w:val="667857E7"/>
    <w:rsid w:val="67821990"/>
    <w:rsid w:val="6B9E543D"/>
    <w:rsid w:val="6D966E0E"/>
    <w:rsid w:val="6F904891"/>
    <w:rsid w:val="74967EBD"/>
    <w:rsid w:val="75B73245"/>
    <w:rsid w:val="75F32054"/>
    <w:rsid w:val="768255EF"/>
    <w:rsid w:val="7A322032"/>
    <w:rsid w:val="7B454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1050</Words>
  <Characters>1363</Characters>
  <Lines>0</Lines>
  <Paragraphs>0</Paragraphs>
  <TotalTime>1</TotalTime>
  <ScaleCrop>false</ScaleCrop>
  <LinksUpToDate>false</LinksUpToDate>
  <CharactersWithSpaces>1395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dcterms:modified xsi:type="dcterms:W3CDTF">2023-05-10T06:11:39Z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5B9232B0420C4099A1D401C4350B46CD</vt:lpwstr>
  </property>
</Properties>
</file>