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2022年度第二十九批次</w:t>
      </w:r>
      <w:r>
        <w:rPr>
          <w:rFonts w:hint="default" w:ascii="Times New Roman" w:hAnsi="Times New Roman" w:eastAsia="方正小标宋简体" w:cs="Times New Roman"/>
          <w:color w:val="000000"/>
          <w:sz w:val="44"/>
          <w:szCs w:val="44"/>
          <w:lang w:val="en-US" w:eastAsia="zh-CN"/>
        </w:rPr>
        <w:t>城镇建设用地</w:t>
      </w:r>
    </w:p>
    <w:p>
      <w:pPr>
        <w:adjustRightInd w:val="0"/>
        <w:snapToGrid w:val="0"/>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广州市黄埔区新龙镇福洞村经济联合社</w:t>
      </w:r>
      <w:r>
        <w:rPr>
          <w:rFonts w:hint="eastAsia" w:ascii="Times New Roman" w:hAnsi="Times New Roman" w:eastAsia="仿宋_GB2312" w:cs="Times New Roman"/>
          <w:color w:val="000000"/>
          <w:sz w:val="32"/>
          <w:szCs w:val="32"/>
          <w:lang w:eastAsia="zh-CN" w:bidi="ar"/>
        </w:rPr>
        <w:t>、福洞村古屋经济合作社、福洞村果排经济合作社、福洞村下坊经济合作社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11.2217</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一、征收集体土地情况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广州市黄埔区新龙镇福洞村经济联合社</w:t>
      </w:r>
      <w:r>
        <w:rPr>
          <w:rFonts w:hint="eastAsia" w:ascii="Times New Roman" w:hAnsi="Times New Roman" w:eastAsia="仿宋_GB2312" w:cs="Times New Roman"/>
          <w:color w:val="000000"/>
          <w:sz w:val="32"/>
          <w:szCs w:val="32"/>
          <w:lang w:eastAsia="zh-CN" w:bidi="ar"/>
        </w:rPr>
        <w:t>、福洞村古屋经济合作社、福洞村果排经济合作社、福洞村下坊经济合作社</w:t>
      </w:r>
      <w:r>
        <w:rPr>
          <w:rFonts w:hint="default" w:ascii="Times New Roman" w:hAnsi="Times New Roman" w:eastAsia="仿宋_GB2312" w:cs="Times New Roman"/>
          <w:color w:val="000000"/>
          <w:sz w:val="32"/>
          <w:szCs w:val="32"/>
          <w:lang w:val="en-US" w:eastAsia="zh-CN" w:bidi="ar"/>
        </w:rPr>
        <w:t>属下</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11.2217</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11.2217</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园地4.8267公顷、</w:t>
      </w:r>
      <w:r>
        <w:rPr>
          <w:rFonts w:hint="default" w:ascii="Times New Roman" w:hAnsi="Times New Roman" w:eastAsia="仿宋_GB2312" w:cs="Times New Roman"/>
          <w:color w:val="000000"/>
          <w:sz w:val="32"/>
          <w:szCs w:val="32"/>
          <w:lang w:bidi="ar"/>
        </w:rPr>
        <w:t>林地</w:t>
      </w:r>
      <w:r>
        <w:rPr>
          <w:rFonts w:hint="eastAsia" w:ascii="Times New Roman" w:hAnsi="Times New Roman" w:eastAsia="仿宋_GB2312" w:cs="Times New Roman"/>
          <w:color w:val="000000"/>
          <w:sz w:val="32"/>
          <w:szCs w:val="32"/>
          <w:lang w:val="en-US" w:eastAsia="zh-CN" w:bidi="ar"/>
        </w:rPr>
        <w:t>5.8240</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bidi="ar"/>
        </w:rPr>
        <w:t>其他农用地</w:t>
      </w:r>
      <w:r>
        <w:rPr>
          <w:rFonts w:hint="eastAsia" w:ascii="Times New Roman" w:hAnsi="Times New Roman" w:eastAsia="仿宋_GB2312" w:cs="Times New Roman"/>
          <w:color w:val="000000"/>
          <w:sz w:val="32"/>
          <w:szCs w:val="32"/>
          <w:lang w:val="en-US" w:eastAsia="zh-CN" w:bidi="ar"/>
        </w:rPr>
        <w:t>0.5710</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val="en-US" w:eastAsia="zh-CN" w:bidi="ar"/>
        </w:rPr>
      </w:pPr>
      <w:r>
        <w:rPr>
          <w:rFonts w:hint="default" w:ascii="Times New Roman" w:hAnsi="Times New Roman" w:eastAsia="仿宋_GB2312" w:cs="Times New Roman"/>
          <w:color w:val="000000"/>
          <w:sz w:val="32"/>
          <w:szCs w:val="32"/>
          <w:lang w:val="en-US" w:eastAsia="zh-CN" w:bidi="ar"/>
        </w:rPr>
        <w:t>征地补偿标准</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tbl>
      <w:tblPr>
        <w:tblStyle w:val="2"/>
        <w:tblW w:w="93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1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5" w:hRule="atLeas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156"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5" w:hRule="atLeast"/>
          <w:tblHeader/>
          <w:jc w:val="center"/>
        </w:trPr>
        <w:tc>
          <w:tcPr>
            <w:tcW w:w="2478"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156"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广州市黄埔区新龙镇福洞村经济联合社</w:t>
            </w:r>
          </w:p>
        </w:tc>
        <w:tc>
          <w:tcPr>
            <w:tcW w:w="7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8.7912</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617.1422</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1097.1418</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1714.284</w:t>
            </w:r>
            <w:r>
              <w:rPr>
                <w:rFonts w:hint="eastAsia" w:ascii="Times New Roman" w:hAnsi="Times New Roman" w:eastAsia="宋体" w:cs="Times New Roman"/>
                <w:i w:val="0"/>
                <w:iCs w:val="0"/>
                <w:color w:val="auto"/>
                <w:kern w:val="0"/>
                <w:sz w:val="22"/>
                <w:szCs w:val="22"/>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广州市黄埔区新龙镇福洞村古屋经济合作社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0.0098</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0.688</w:t>
            </w:r>
            <w:r>
              <w:rPr>
                <w:rFonts w:hint="eastAsia" w:ascii="Times New Roman" w:hAnsi="Times New Roman" w:eastAsia="宋体" w:cs="Times New Roman"/>
                <w:i w:val="0"/>
                <w:iCs w:val="0"/>
                <w:color w:val="auto"/>
                <w:kern w:val="0"/>
                <w:sz w:val="22"/>
                <w:szCs w:val="22"/>
                <w:u w:val="none"/>
                <w:lang w:val="en-US" w:eastAsia="zh-CN" w:bidi="ar"/>
              </w:rPr>
              <w:t>0</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1.223</w:t>
            </w:r>
            <w:r>
              <w:rPr>
                <w:rFonts w:hint="eastAsia" w:ascii="Times New Roman" w:hAnsi="Times New Roman" w:eastAsia="宋体" w:cs="Times New Roman"/>
                <w:i w:val="0"/>
                <w:iCs w:val="0"/>
                <w:color w:val="auto"/>
                <w:kern w:val="0"/>
                <w:sz w:val="22"/>
                <w:szCs w:val="22"/>
                <w:u w:val="none"/>
                <w:lang w:val="en-US" w:eastAsia="zh-CN" w:bidi="ar"/>
              </w:rPr>
              <w:t>0</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1.911</w:t>
            </w:r>
            <w:r>
              <w:rPr>
                <w:rFonts w:hint="eastAsia" w:ascii="Times New Roman" w:hAnsi="Times New Roman" w:eastAsia="宋体" w:cs="Times New Roman"/>
                <w:i w:val="0"/>
                <w:iCs w:val="0"/>
                <w:color w:val="auto"/>
                <w:kern w:val="0"/>
                <w:sz w:val="22"/>
                <w:szCs w:val="22"/>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广州市黄埔区新龙镇福洞村果排经济合作社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0.0840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5.8968</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10.4832</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16.38</w:t>
            </w:r>
            <w:r>
              <w:rPr>
                <w:rFonts w:hint="eastAsia" w:ascii="Times New Roman" w:hAnsi="Times New Roman" w:eastAsia="宋体" w:cs="Times New Roman"/>
                <w:i w:val="0"/>
                <w:iCs w:val="0"/>
                <w:color w:val="auto"/>
                <w:kern w:val="0"/>
                <w:sz w:val="22"/>
                <w:szCs w:val="22"/>
                <w:u w:val="none"/>
                <w:lang w:val="en-US" w:eastAsia="zh-CN" w:bidi="ar"/>
              </w:rPr>
              <w:t>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广州市黄埔区新龙镇福洞村下坊经济合作社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2.3367</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164.0363</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291.6202</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455.6565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8"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11.2217</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787.7633</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1400.4682</w:t>
            </w:r>
          </w:p>
        </w:tc>
        <w:tc>
          <w:tcPr>
            <w:tcW w:w="1156" w:type="dxa"/>
            <w:tcBorders>
              <w:tl2br w:val="nil"/>
              <w:tr2bl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2188.2315</w:t>
            </w:r>
          </w:p>
        </w:tc>
      </w:tr>
    </w:tbl>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青苗</w:t>
      </w:r>
      <w:r>
        <w:rPr>
          <w:rFonts w:hint="default" w:ascii="Times New Roman" w:hAnsi="Times New Roman" w:eastAsia="仿宋_GB2312" w:cs="Times New Roman"/>
          <w:color w:val="auto"/>
          <w:sz w:val="32"/>
          <w:szCs w:val="32"/>
          <w:lang w:val="en-US" w:eastAsia="zh-CN"/>
        </w:rPr>
        <w:t>补偿费</w:t>
      </w:r>
      <w:r>
        <w:rPr>
          <w:rFonts w:hint="eastAsia" w:ascii="Times New Roman" w:hAnsi="Times New Roman" w:eastAsia="仿宋_GB2312" w:cs="Times New Roman"/>
          <w:color w:val="auto"/>
          <w:sz w:val="32"/>
          <w:szCs w:val="32"/>
          <w:lang w:val="en-US" w:eastAsia="zh-CN"/>
        </w:rPr>
        <w:t>及地上附着物补偿费共723.7997万元</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安置措施情况</w:t>
      </w:r>
    </w:p>
    <w:tbl>
      <w:tblPr>
        <w:tblStyle w:val="2"/>
        <w:tblpPr w:leftFromText="180" w:rightFromText="180" w:vertAnchor="text" w:horzAnchor="page" w:tblpX="1336" w:tblpY="4142"/>
        <w:tblOverlap w:val="never"/>
        <w:tblW w:w="9781" w:type="dxa"/>
        <w:tblInd w:w="0" w:type="dxa"/>
        <w:tblLayout w:type="autofit"/>
        <w:tblCellMar>
          <w:top w:w="0" w:type="dxa"/>
          <w:left w:w="108" w:type="dxa"/>
          <w:bottom w:w="0" w:type="dxa"/>
          <w:right w:w="108" w:type="dxa"/>
        </w:tblCellMar>
      </w:tblPr>
      <w:tblGrid>
        <w:gridCol w:w="4536"/>
        <w:gridCol w:w="5245"/>
      </w:tblGrid>
      <w:tr>
        <w:tblPrEx>
          <w:tblCellMar>
            <w:top w:w="0" w:type="dxa"/>
            <w:left w:w="108" w:type="dxa"/>
            <w:bottom w:w="0" w:type="dxa"/>
            <w:right w:w="108" w:type="dxa"/>
          </w:tblCellMar>
        </w:tblPrEx>
        <w:tc>
          <w:tcPr>
            <w:tcW w:w="453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val="0"/>
            <w:vAlign w:val="top"/>
          </w:tcPr>
          <w:p>
            <w:pPr>
              <w:rPr>
                <w:rFonts w:hint="eastAsia"/>
              </w:rPr>
            </w:pPr>
            <w:r>
              <w:rPr>
                <w:rFonts w:hint="eastAsia" w:eastAsia="仿宋_GB2312"/>
                <w:sz w:val="32"/>
                <w:szCs w:val="32"/>
              </w:rPr>
              <w:t>广州开发区规划和自然资源局</w:t>
            </w:r>
          </w:p>
        </w:tc>
        <w:tc>
          <w:tcPr>
            <w:tcW w:w="524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val="0"/>
            <w:vAlign w:val="top"/>
          </w:tcPr>
          <w:p>
            <w:pPr>
              <w:tabs>
                <w:tab w:val="left" w:pos="4826"/>
              </w:tabs>
              <w:spacing w:line="520" w:lineRule="exact"/>
              <w:ind w:right="-654"/>
              <w:rPr>
                <w:rFonts w:hint="eastAsia" w:eastAsia="仿宋_GB2312"/>
                <w:sz w:val="32"/>
                <w:szCs w:val="32"/>
              </w:rPr>
            </w:pPr>
            <w:r>
              <w:rPr>
                <w:rFonts w:hint="eastAsia" w:eastAsia="仿宋_GB2312"/>
                <w:sz w:val="32"/>
                <w:szCs w:val="32"/>
              </w:rPr>
              <w:t>广州市规划和自然资源局黄埔区分局</w:t>
            </w:r>
          </w:p>
          <w:p>
            <w:pPr>
              <w:tabs>
                <w:tab w:val="left" w:pos="4712"/>
              </w:tabs>
              <w:spacing w:line="520" w:lineRule="exact"/>
              <w:ind w:right="-108"/>
              <w:jc w:val="center"/>
              <w:rPr>
                <w:rFonts w:hint="eastAsia"/>
              </w:rPr>
            </w:pP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20</w:t>
            </w:r>
            <w:r>
              <w:rPr>
                <w:rFonts w:hint="eastAsia" w:ascii="Times New Roman" w:hAnsi="Times New Roman" w:eastAsia="仿宋_GB2312" w:cs="Times New Roman"/>
                <w:snapToGrid/>
                <w:color w:val="auto"/>
                <w:sz w:val="32"/>
                <w:szCs w:val="32"/>
                <w:highlight w:val="none"/>
                <w:u w:val="none" w:color="auto"/>
                <w:shd w:val="clear" w:color="auto" w:fill="FFFFFF"/>
                <w:lang w:val="en-US" w:eastAsia="zh-CN"/>
              </w:rPr>
              <w:t>23年4月7</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日</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default" w:ascii="Times New Roman" w:hAnsi="Times New Roman" w:eastAsia="仿宋_GB2312" w:cs="Times New Roman"/>
          <w:sz w:val="32"/>
          <w:szCs w:val="32"/>
        </w:rPr>
        <w:t>为妥善安置被征地农民，切实解决被征地农民的生产生活</w:t>
      </w:r>
      <w:bookmarkStart w:id="0" w:name="_GoBack"/>
      <w:bookmarkEnd w:id="0"/>
      <w:r>
        <w:rPr>
          <w:rFonts w:hint="default" w:ascii="Times New Roman" w:hAnsi="Times New Roman" w:eastAsia="仿宋_GB2312" w:cs="Times New Roman"/>
          <w:sz w:val="32"/>
          <w:szCs w:val="32"/>
        </w:rPr>
        <w:t>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已在该批次用地红线范围外安排解决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给上述被征地农民落实基本养老保障和培训就业等社会保障措施，确保被征地农民的原有生活水平不降低，长远生计有保障，具体将按省的征地社会保障实施方案办理</w:t>
      </w:r>
      <w:r>
        <w:rPr>
          <w:rFonts w:hint="eastAsia" w:ascii="Times New Roman" w:hAnsi="Times New Roman" w:eastAsia="仿宋_GB2312" w:cs="Times New Roman"/>
          <w:sz w:val="32"/>
          <w:szCs w:val="32"/>
          <w:lang w:eastAsia="zh-CN"/>
        </w:rPr>
        <w:t>。</w:t>
      </w:r>
    </w:p>
    <w:sectPr>
      <w:pgSz w:w="11906" w:h="16838"/>
      <w:pgMar w:top="1417" w:right="1587"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E5F31"/>
    <w:multiLevelType w:val="singleLevel"/>
    <w:tmpl w:val="805E5F31"/>
    <w:lvl w:ilvl="0" w:tentative="0">
      <w:start w:val="1"/>
      <w:numFmt w:val="chineseCounting"/>
      <w:suff w:val="nothing"/>
      <w:lvlText w:val="（%1）"/>
      <w:lvlJc w:val="left"/>
      <w:rPr>
        <w:rFonts w:hint="eastAsia"/>
      </w:rPr>
    </w:lvl>
  </w:abstractNum>
  <w:abstractNum w:abstractNumId="1">
    <w:nsid w:val="3195F1B0"/>
    <w:multiLevelType w:val="singleLevel"/>
    <w:tmpl w:val="3195F1B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YTViMGU4OTUxNzA4MWJmYTRkYzFhYzNjY2E3ZTEifQ=="/>
  </w:docVars>
  <w:rsids>
    <w:rsidRoot w:val="6F904891"/>
    <w:rsid w:val="001572D6"/>
    <w:rsid w:val="043D5409"/>
    <w:rsid w:val="07EC610C"/>
    <w:rsid w:val="0F653D08"/>
    <w:rsid w:val="0F9073D0"/>
    <w:rsid w:val="11286134"/>
    <w:rsid w:val="11DB1F22"/>
    <w:rsid w:val="1305476D"/>
    <w:rsid w:val="14234C20"/>
    <w:rsid w:val="15390318"/>
    <w:rsid w:val="17EC7BCA"/>
    <w:rsid w:val="18243F2C"/>
    <w:rsid w:val="1A8B0AEC"/>
    <w:rsid w:val="1B8368F3"/>
    <w:rsid w:val="236D51B4"/>
    <w:rsid w:val="2591116E"/>
    <w:rsid w:val="26DE174A"/>
    <w:rsid w:val="28F12E95"/>
    <w:rsid w:val="2ABE5B1A"/>
    <w:rsid w:val="2D063B65"/>
    <w:rsid w:val="2FA951A8"/>
    <w:rsid w:val="337B4EAB"/>
    <w:rsid w:val="39DF0BD7"/>
    <w:rsid w:val="40637CF9"/>
    <w:rsid w:val="4137018A"/>
    <w:rsid w:val="41F5678E"/>
    <w:rsid w:val="430309FB"/>
    <w:rsid w:val="43CF14AC"/>
    <w:rsid w:val="482927C3"/>
    <w:rsid w:val="4D8B5B2D"/>
    <w:rsid w:val="51D04C64"/>
    <w:rsid w:val="52180177"/>
    <w:rsid w:val="555111B5"/>
    <w:rsid w:val="5B8E59E1"/>
    <w:rsid w:val="5B9916F5"/>
    <w:rsid w:val="5F0F39F7"/>
    <w:rsid w:val="60D463C4"/>
    <w:rsid w:val="61834DEC"/>
    <w:rsid w:val="67821990"/>
    <w:rsid w:val="6B9E543D"/>
    <w:rsid w:val="6D966E0E"/>
    <w:rsid w:val="6F904891"/>
    <w:rsid w:val="75B73245"/>
    <w:rsid w:val="75F32054"/>
    <w:rsid w:val="768255EF"/>
    <w:rsid w:val="7A322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897</Words>
  <Characters>1098</Characters>
  <Lines>0</Lines>
  <Paragraphs>0</Paragraphs>
  <TotalTime>0</TotalTime>
  <ScaleCrop>false</ScaleCrop>
  <LinksUpToDate>false</LinksUpToDate>
  <CharactersWithSpaces>1103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回忆か~捉不到</cp:lastModifiedBy>
  <dcterms:modified xsi:type="dcterms:W3CDTF">2023-04-07T07:02:29Z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5B9232B0420C4099A1D401C4350B46CD</vt:lpwstr>
  </property>
</Properties>
</file>