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Arial"/>
          <w:sz w:val="21"/>
        </w:rPr>
      </w:pPr>
      <w:r>
        <w:pict>
          <v:rect id="_x0000_s1026" o:spid="_x0000_s1026" o:spt="1" style="position:absolute;left:0pt;margin-left:83.5pt;margin-top:163.5pt;height:3pt;width:434.55pt;mso-position-horizontal-relative:page;mso-position-vertical-relative:page;z-index:251659264;mso-width-relative:page;mso-height-relative:page;" fillcolor="#FF0000" filled="t" stroked="f" coordsize="21600,21600" o:allowincell="f">
            <v:path/>
            <v:fill on="t" color2="#FFFFFF" focussize="0,0"/>
            <v:stroke on="f"/>
            <v:imagedata o:title=""/>
            <o:lock v:ext="edit" aspectratio="f"/>
          </v:rect>
        </w:pict>
      </w:r>
    </w:p>
    <w:p>
      <w:pPr>
        <w:spacing w:line="301" w:lineRule="auto"/>
        <w:rPr>
          <w:rFonts w:ascii="Arial"/>
          <w:sz w:val="21"/>
        </w:rPr>
      </w:pPr>
    </w:p>
    <w:p>
      <w:pPr>
        <w:spacing w:line="30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FF0000"/>
          <w:sz w:val="54"/>
          <w:szCs w:val="54"/>
        </w:rPr>
      </w:pPr>
      <w:r>
        <w:rPr>
          <w:rFonts w:ascii="宋体" w:hAnsi="宋体" w:eastAsia="宋体" w:cs="宋体"/>
          <w:b/>
          <w:bCs/>
          <w:color w:val="FF0000"/>
          <w:spacing w:val="-41"/>
          <w:sz w:val="54"/>
          <w:szCs w:val="54"/>
        </w:rPr>
        <w:t>广</w:t>
      </w:r>
      <w:r>
        <w:rPr>
          <w:rFonts w:hint="eastAsia" w:ascii="宋体" w:hAnsi="宋体" w:eastAsia="宋体" w:cs="宋体"/>
          <w:b/>
          <w:bCs/>
          <w:color w:val="FF0000"/>
          <w:spacing w:val="-41"/>
          <w:sz w:val="54"/>
          <w:szCs w:val="54"/>
          <w:lang w:val="en-US" w:eastAsia="zh-CN"/>
        </w:rPr>
        <w:t xml:space="preserve"> </w:t>
      </w:r>
      <w:r>
        <w:rPr>
          <w:rFonts w:ascii="宋体" w:hAnsi="宋体" w:eastAsia="宋体" w:cs="宋体"/>
          <w:b/>
          <w:bCs/>
          <w:color w:val="FF0000"/>
          <w:spacing w:val="-41"/>
          <w:sz w:val="54"/>
          <w:szCs w:val="54"/>
        </w:rPr>
        <w:t>东</w:t>
      </w:r>
      <w:r>
        <w:rPr>
          <w:rFonts w:hint="eastAsia" w:ascii="宋体" w:hAnsi="宋体" w:eastAsia="宋体" w:cs="宋体"/>
          <w:b/>
          <w:bCs/>
          <w:color w:val="FF0000"/>
          <w:spacing w:val="-41"/>
          <w:sz w:val="54"/>
          <w:szCs w:val="54"/>
          <w:lang w:val="en-US" w:eastAsia="zh-CN"/>
        </w:rPr>
        <w:t xml:space="preserve"> </w:t>
      </w:r>
      <w:r>
        <w:rPr>
          <w:rFonts w:ascii="宋体" w:hAnsi="宋体" w:eastAsia="宋体" w:cs="宋体"/>
          <w:b/>
          <w:bCs/>
          <w:color w:val="FF0000"/>
          <w:spacing w:val="-41"/>
          <w:sz w:val="54"/>
          <w:szCs w:val="54"/>
        </w:rPr>
        <w:t>省</w:t>
      </w:r>
      <w:r>
        <w:rPr>
          <w:rFonts w:hint="eastAsia" w:ascii="宋体" w:hAnsi="宋体" w:eastAsia="宋体" w:cs="宋体"/>
          <w:b/>
          <w:bCs/>
          <w:color w:val="FF0000"/>
          <w:spacing w:val="-41"/>
          <w:sz w:val="54"/>
          <w:szCs w:val="54"/>
          <w:lang w:val="en-US" w:eastAsia="zh-CN"/>
        </w:rPr>
        <w:t xml:space="preserve"> </w:t>
      </w:r>
      <w:r>
        <w:rPr>
          <w:rFonts w:ascii="宋体" w:hAnsi="宋体" w:eastAsia="宋体" w:cs="宋体"/>
          <w:b/>
          <w:bCs/>
          <w:color w:val="FF0000"/>
          <w:spacing w:val="-41"/>
          <w:sz w:val="54"/>
          <w:szCs w:val="54"/>
        </w:rPr>
        <w:t>国</w:t>
      </w:r>
      <w:r>
        <w:rPr>
          <w:rFonts w:hint="eastAsia" w:ascii="宋体" w:hAnsi="宋体" w:eastAsia="宋体" w:cs="宋体"/>
          <w:b/>
          <w:bCs/>
          <w:color w:val="FF0000"/>
          <w:spacing w:val="-41"/>
          <w:sz w:val="54"/>
          <w:szCs w:val="54"/>
          <w:lang w:val="en-US" w:eastAsia="zh-CN"/>
        </w:rPr>
        <w:t xml:space="preserve"> </w:t>
      </w:r>
      <w:r>
        <w:rPr>
          <w:rFonts w:ascii="宋体" w:hAnsi="宋体" w:eastAsia="宋体" w:cs="宋体"/>
          <w:b/>
          <w:bCs/>
          <w:color w:val="FF0000"/>
          <w:spacing w:val="-41"/>
          <w:sz w:val="54"/>
          <w:szCs w:val="54"/>
        </w:rPr>
        <w:t>土</w:t>
      </w:r>
      <w:r>
        <w:rPr>
          <w:rFonts w:hint="eastAsia" w:ascii="宋体" w:hAnsi="宋体" w:eastAsia="宋体" w:cs="宋体"/>
          <w:b/>
          <w:bCs/>
          <w:color w:val="FF0000"/>
          <w:spacing w:val="-41"/>
          <w:sz w:val="54"/>
          <w:szCs w:val="54"/>
          <w:lang w:val="en-US" w:eastAsia="zh-CN"/>
        </w:rPr>
        <w:t xml:space="preserve"> </w:t>
      </w:r>
      <w:r>
        <w:rPr>
          <w:rFonts w:ascii="宋体" w:hAnsi="宋体" w:eastAsia="宋体" w:cs="宋体"/>
          <w:b/>
          <w:bCs/>
          <w:color w:val="FF0000"/>
          <w:spacing w:val="-41"/>
          <w:sz w:val="54"/>
          <w:szCs w:val="54"/>
        </w:rPr>
        <w:t>资</w:t>
      </w:r>
      <w:r>
        <w:rPr>
          <w:rFonts w:hint="eastAsia" w:ascii="宋体" w:hAnsi="宋体" w:eastAsia="宋体" w:cs="宋体"/>
          <w:b/>
          <w:bCs/>
          <w:color w:val="FF0000"/>
          <w:spacing w:val="-41"/>
          <w:sz w:val="54"/>
          <w:szCs w:val="54"/>
          <w:lang w:val="en-US" w:eastAsia="zh-CN"/>
        </w:rPr>
        <w:t xml:space="preserve"> </w:t>
      </w:r>
      <w:r>
        <w:rPr>
          <w:rFonts w:ascii="宋体" w:hAnsi="宋体" w:eastAsia="宋体" w:cs="宋体"/>
          <w:b/>
          <w:bCs/>
          <w:color w:val="FF0000"/>
          <w:spacing w:val="-41"/>
          <w:sz w:val="54"/>
          <w:szCs w:val="54"/>
        </w:rPr>
        <w:t>源</w:t>
      </w:r>
      <w:r>
        <w:rPr>
          <w:rFonts w:hint="eastAsia" w:ascii="宋体" w:hAnsi="宋体" w:eastAsia="宋体" w:cs="宋体"/>
          <w:b/>
          <w:bCs/>
          <w:color w:val="FF0000"/>
          <w:spacing w:val="-41"/>
          <w:sz w:val="54"/>
          <w:szCs w:val="54"/>
          <w:lang w:val="en-US" w:eastAsia="zh-CN"/>
        </w:rPr>
        <w:t xml:space="preserve"> </w:t>
      </w:r>
      <w:r>
        <w:rPr>
          <w:rFonts w:ascii="宋体" w:hAnsi="宋体" w:eastAsia="宋体" w:cs="宋体"/>
          <w:b/>
          <w:bCs/>
          <w:color w:val="FF0000"/>
          <w:spacing w:val="-41"/>
          <w:sz w:val="54"/>
          <w:szCs w:val="54"/>
        </w:rPr>
        <w:t>厅</w:t>
      </w:r>
    </w:p>
    <w:p>
      <w:pPr>
        <w:spacing w:before="307" w:line="224" w:lineRule="auto"/>
        <w:ind w:firstLine="3600" w:firstLineChars="1000"/>
        <w:rPr>
          <w:rFonts w:ascii="仿宋" w:hAnsi="仿宋" w:eastAsia="仿宋" w:cs="仿宋"/>
          <w:sz w:val="32"/>
          <w:szCs w:val="32"/>
        </w:rPr>
      </w:pPr>
      <w:r>
        <w:rPr>
          <w:rFonts w:ascii="仿宋" w:hAnsi="仿宋" w:eastAsia="仿宋" w:cs="仿宋"/>
          <w:spacing w:val="20"/>
          <w:sz w:val="32"/>
          <w:szCs w:val="32"/>
        </w:rPr>
        <w:t>粤国土资(建)字〔2016〕426号</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43" w:line="221" w:lineRule="auto"/>
        <w:ind w:right="0" w:rightChars="0"/>
        <w:jc w:val="center"/>
        <w:rPr>
          <w:rFonts w:hint="eastAsia" w:ascii="方正小标宋简体" w:hAnsi="方正小标宋简体" w:eastAsia="方正小标宋简体" w:cs="方正小标宋简体"/>
          <w:b/>
          <w:bCs/>
          <w:spacing w:val="7"/>
          <w:sz w:val="44"/>
          <w:szCs w:val="44"/>
        </w:rPr>
      </w:pPr>
      <w:r>
        <w:rPr>
          <w:rFonts w:hint="eastAsia" w:ascii="方正小标宋简体" w:hAnsi="方正小标宋简体" w:eastAsia="方正小标宋简体" w:cs="方正小标宋简体"/>
          <w:b/>
          <w:bCs/>
          <w:spacing w:val="7"/>
          <w:sz w:val="44"/>
          <w:szCs w:val="44"/>
        </w:rPr>
        <w:t>广东省国土资源厅关于广州市花都区2015</w:t>
      </w:r>
    </w:p>
    <w:p>
      <w:pPr>
        <w:spacing w:before="143" w:line="221" w:lineRule="auto"/>
        <w:ind w:right="0" w:rightChars="0"/>
        <w:jc w:val="center"/>
        <w:rPr>
          <w:rFonts w:hint="eastAsia" w:ascii="方正小标宋简体" w:hAnsi="方正小标宋简体" w:eastAsia="方正小标宋简体" w:cs="方正小标宋简体"/>
          <w:b/>
          <w:bCs/>
          <w:spacing w:val="7"/>
          <w:sz w:val="44"/>
          <w:szCs w:val="44"/>
        </w:rPr>
      </w:pPr>
      <w:r>
        <w:rPr>
          <w:rFonts w:hint="eastAsia" w:ascii="方正小标宋简体" w:hAnsi="方正小标宋简体" w:eastAsia="方正小标宋简体" w:cs="方正小标宋简体"/>
          <w:b/>
          <w:bCs/>
          <w:spacing w:val="7"/>
          <w:sz w:val="44"/>
          <w:szCs w:val="44"/>
        </w:rPr>
        <w:t>年度第十一批次城镇建设用地的批复</w:t>
      </w:r>
    </w:p>
    <w:p>
      <w:pPr>
        <w:spacing w:line="279" w:lineRule="auto"/>
        <w:rPr>
          <w:rFonts w:ascii="Arial"/>
          <w:sz w:val="21"/>
        </w:rPr>
      </w:pPr>
    </w:p>
    <w:p>
      <w:pPr>
        <w:spacing w:line="28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560" w:lineRule="exact"/>
        <w:textAlignment w:val="baseline"/>
        <w:rPr>
          <w:rFonts w:ascii="仿宋" w:hAnsi="仿宋" w:eastAsia="仿宋" w:cs="仿宋"/>
          <w:sz w:val="32"/>
          <w:szCs w:val="32"/>
        </w:rPr>
      </w:pPr>
      <w:r>
        <w:rPr>
          <w:rFonts w:ascii="仿宋" w:hAnsi="仿宋" w:eastAsia="仿宋" w:cs="仿宋"/>
          <w:spacing w:val="-3"/>
          <w:sz w:val="32"/>
          <w:szCs w:val="32"/>
        </w:rPr>
        <w:t>广州市人民政府：</w:t>
      </w:r>
    </w:p>
    <w:p>
      <w:pPr>
        <w:keepNext w:val="0"/>
        <w:keepLines w:val="0"/>
        <w:pageBreakBefore w:val="0"/>
        <w:widowControl/>
        <w:tabs>
          <w:tab w:val="left" w:pos="519"/>
        </w:tabs>
        <w:kinsoku w:val="0"/>
        <w:wordWrap/>
        <w:overflowPunct/>
        <w:topLinePunct w:val="0"/>
        <w:autoSpaceDE w:val="0"/>
        <w:autoSpaceDN w:val="0"/>
        <w:bidi w:val="0"/>
        <w:adjustRightInd w:val="0"/>
        <w:snapToGrid w:val="0"/>
        <w:spacing w:line="560" w:lineRule="exact"/>
        <w:ind w:left="0" w:right="0" w:firstLine="692"/>
        <w:jc w:val="both"/>
        <w:textAlignment w:val="baseline"/>
        <w:rPr>
          <w:rFonts w:ascii="仿宋" w:hAnsi="仿宋" w:eastAsia="仿宋" w:cs="仿宋"/>
          <w:sz w:val="32"/>
          <w:szCs w:val="32"/>
        </w:rPr>
      </w:pPr>
      <w:r>
        <w:rPr>
          <w:rFonts w:ascii="仿宋" w:hAnsi="仿宋" w:eastAsia="仿宋" w:cs="仿宋"/>
          <w:spacing w:val="20"/>
          <w:sz w:val="32"/>
          <w:szCs w:val="32"/>
        </w:rPr>
        <w:t>经你市政府审核同意上报的《关于审核广州市花都区</w:t>
      </w:r>
      <w:r>
        <w:rPr>
          <w:rFonts w:ascii="仿宋" w:hAnsi="仿宋" w:eastAsia="仿宋" w:cs="仿宋"/>
          <w:spacing w:val="28"/>
          <w:sz w:val="32"/>
          <w:szCs w:val="32"/>
        </w:rPr>
        <w:t>2015年度第十一批次城镇建设用地的请示</w:t>
      </w:r>
      <w:r>
        <w:rPr>
          <w:rFonts w:ascii="仿宋" w:hAnsi="仿宋" w:eastAsia="仿宋" w:cs="仿宋"/>
          <w:spacing w:val="27"/>
          <w:sz w:val="32"/>
          <w:szCs w:val="32"/>
        </w:rPr>
        <w:t>》(穗国土规划</w:t>
      </w:r>
      <w:r>
        <w:rPr>
          <w:rFonts w:ascii="仿宋" w:hAnsi="仿宋" w:eastAsia="仿宋" w:cs="仿宋"/>
          <w:spacing w:val="26"/>
          <w:sz w:val="32"/>
          <w:szCs w:val="32"/>
        </w:rPr>
        <w:t>(用地)报〔2016〕6号)收悉。经省人民政府同</w:t>
      </w:r>
      <w:r>
        <w:rPr>
          <w:rFonts w:ascii="仿宋" w:hAnsi="仿宋" w:eastAsia="仿宋" w:cs="仿宋"/>
          <w:spacing w:val="25"/>
          <w:sz w:val="32"/>
          <w:szCs w:val="32"/>
        </w:rPr>
        <w:t>意，批复</w:t>
      </w:r>
      <w:r>
        <w:rPr>
          <w:rFonts w:ascii="仿宋" w:hAnsi="仿宋" w:eastAsia="仿宋" w:cs="仿宋"/>
          <w:spacing w:val="-9"/>
          <w:sz w:val="32"/>
          <w:szCs w:val="32"/>
        </w:rPr>
        <w:t>如下：</w:t>
      </w:r>
    </w:p>
    <w:p>
      <w:pPr>
        <w:keepNext w:val="0"/>
        <w:keepLines w:val="0"/>
        <w:pageBreakBefore w:val="0"/>
        <w:widowControl/>
        <w:tabs>
          <w:tab w:val="left" w:pos="519"/>
        </w:tabs>
        <w:kinsoku w:val="0"/>
        <w:wordWrap/>
        <w:overflowPunct/>
        <w:topLinePunct w:val="0"/>
        <w:autoSpaceDE w:val="0"/>
        <w:autoSpaceDN w:val="0"/>
        <w:bidi w:val="0"/>
        <w:adjustRightInd w:val="0"/>
        <w:snapToGrid w:val="0"/>
        <w:spacing w:line="560" w:lineRule="exact"/>
        <w:ind w:left="0" w:right="0" w:firstLine="692"/>
        <w:jc w:val="both"/>
        <w:textAlignment w:val="baseline"/>
        <w:rPr>
          <w:rFonts w:hint="eastAsia" w:ascii="仿宋_GB2312" w:hAnsi="仿宋_GB2312" w:eastAsia="仿宋_GB2312" w:cs="仿宋_GB2312"/>
          <w:spacing w:val="2"/>
          <w:sz w:val="32"/>
          <w:szCs w:val="32"/>
        </w:rPr>
      </w:pPr>
      <w:r>
        <w:rPr>
          <w:rFonts w:ascii="仿宋" w:hAnsi="仿宋" w:eastAsia="仿宋" w:cs="仿宋"/>
          <w:spacing w:val="28"/>
          <w:sz w:val="32"/>
          <w:szCs w:val="32"/>
        </w:rPr>
        <w:t>一、同意上报的农用地转用方案和征收土地方案。同意你市将花都区花城街石岗村经济联合社，石岗村西荣一、西荣二、西荣三、东仁二、下谭、现龙经济合作社，杨二村榕树、溶树、草弄、存心、大弄、上头、泗合、祥凤经济合作社，杨二经济联合社，花山镇平西村第六、第七、第八、第九经济合作社，新和村第五、第六、第十、第十三、第十四经济合作社，新和村经济联合社，炭步镇茶塘第一、第三、第四、第五、第六、第七、第八、第九、第十经济合作社，</w:t>
      </w:r>
      <w:r>
        <w:rPr>
          <w:rFonts w:ascii="仿宋" w:hAnsi="仿宋" w:eastAsia="仿宋" w:cs="仿宋"/>
          <w:spacing w:val="20"/>
          <w:sz w:val="32"/>
          <w:szCs w:val="32"/>
        </w:rPr>
        <w:t>大涡第一、第二、第三经济合作社，大涡经济合作社，华岭</w:t>
      </w:r>
      <w:r>
        <w:rPr>
          <w:rFonts w:hint="eastAsia" w:ascii="仿宋_GB2312" w:hAnsi="仿宋_GB2312" w:eastAsia="仿宋_GB2312" w:cs="仿宋_GB2312"/>
          <w:spacing w:val="2"/>
          <w:sz w:val="32"/>
          <w:szCs w:val="32"/>
        </w:rPr>
        <w:t>第五经济合作社</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石南经济联合社，石南第一、第二、第四、第五、第六、第七经济合作社，</w:t>
      </w:r>
      <w:r>
        <w:rPr>
          <w:rFonts w:hint="eastAsia" w:ascii="仿宋_GB2312" w:hAnsi="仿宋_GB2312" w:eastAsia="仿宋_GB2312" w:cs="仿宋_GB2312"/>
          <w:spacing w:val="2"/>
          <w:sz w:val="32"/>
          <w:szCs w:val="32"/>
          <w:lang w:val="en-US" w:eastAsia="zh-CN"/>
        </w:rPr>
        <w:t>㘵</w:t>
      </w:r>
      <w:r>
        <w:rPr>
          <w:rFonts w:hint="eastAsia" w:ascii="仿宋_GB2312" w:hAnsi="仿宋_GB2312" w:eastAsia="仿宋_GB2312" w:cs="仿宋_GB2312"/>
          <w:spacing w:val="2"/>
          <w:sz w:val="32"/>
          <w:szCs w:val="32"/>
        </w:rPr>
        <w:t>溪㘵头经济合作社，新雅街石塘村第八经济合作社属下的集体农用地49.3196公顷(耕地27.5401公顷、园地12.2037公顷、林地0.1243公顷、养殖水面7.9671公顷、其他农用地1.4844公顷)转为建设用地，同时使用上述有关村集体建设用地13.8986公顷、未利用地2.7314公顷，以上合计65.9496公顷集体土地一并办理征收为国有土地手续；上述土地经完善征收手续后依照规划安排作为花都区城镇建设用地。</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三、同意上报的补充耕地方案。同意使用已有耕地储备指标(44142420100004)补充耕地，同时请你市人民政府负责督促落实，切实采取有效措施，确保耕地数量、质量和类别达到占补平衡的要求。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pacing w:val="2"/>
          <w:sz w:val="32"/>
          <w:szCs w:val="32"/>
        </w:rPr>
      </w:pPr>
    </w:p>
    <w:p>
      <w:pPr>
        <w:spacing w:before="97" w:line="221" w:lineRule="auto"/>
        <w:rPr>
          <w:rFonts w:ascii="仿宋" w:hAnsi="仿宋" w:eastAsia="仿宋" w:cs="仿宋"/>
          <w:sz w:val="30"/>
          <w:szCs w:val="30"/>
        </w:rPr>
      </w:pPr>
      <w:r>
        <w:rPr>
          <w:rFonts w:ascii="仿宋" w:hAnsi="仿宋" w:eastAsia="仿宋" w:cs="仿宋"/>
          <w:spacing w:val="25"/>
          <w:sz w:val="30"/>
          <w:szCs w:val="30"/>
        </w:rPr>
        <w:t>补偿安置不落实的，不得强行使用被征土地。</w:t>
      </w:r>
    </w:p>
    <w:p>
      <w:pPr>
        <w:spacing w:before="120" w:line="220" w:lineRule="auto"/>
        <w:ind w:firstLine="704" w:firstLineChars="200"/>
        <w:rPr>
          <w:rFonts w:ascii="仿宋" w:hAnsi="仿宋" w:eastAsia="仿宋" w:cs="仿宋"/>
          <w:sz w:val="30"/>
          <w:szCs w:val="30"/>
        </w:rPr>
      </w:pPr>
      <w:r>
        <w:rPr>
          <w:rFonts w:ascii="仿宋" w:hAnsi="仿宋" w:eastAsia="仿宋" w:cs="仿宋"/>
          <w:spacing w:val="26"/>
          <w:sz w:val="30"/>
          <w:szCs w:val="30"/>
        </w:rPr>
        <w:t>五、使用土地涉及有关税费的收缴或调整，请按有</w:t>
      </w:r>
      <w:r>
        <w:rPr>
          <w:rFonts w:ascii="仿宋" w:hAnsi="仿宋" w:eastAsia="仿宋" w:cs="仿宋"/>
          <w:spacing w:val="25"/>
          <w:sz w:val="30"/>
          <w:szCs w:val="30"/>
        </w:rPr>
        <w:t>关规</w:t>
      </w:r>
      <w:r>
        <w:rPr>
          <w:rFonts w:ascii="仿宋" w:hAnsi="仿宋" w:eastAsia="仿宋" w:cs="仿宋"/>
          <w:spacing w:val="2"/>
          <w:sz w:val="30"/>
          <w:szCs w:val="30"/>
        </w:rPr>
        <w:t>定办理。</w:t>
      </w:r>
    </w:p>
    <w:p>
      <w:pPr>
        <w:spacing w:before="190" w:line="561" w:lineRule="exact"/>
        <w:ind w:firstLine="700" w:firstLineChars="200"/>
        <w:rPr>
          <w:rFonts w:ascii="仿宋" w:hAnsi="仿宋" w:eastAsia="仿宋" w:cs="仿宋"/>
          <w:sz w:val="30"/>
          <w:szCs w:val="30"/>
        </w:rPr>
      </w:pPr>
      <w:r>
        <w:rPr>
          <w:rFonts w:ascii="仿宋" w:hAnsi="仿宋" w:eastAsia="仿宋" w:cs="仿宋"/>
          <w:spacing w:val="25"/>
          <w:position w:val="19"/>
          <w:sz w:val="30"/>
          <w:szCs w:val="30"/>
        </w:rPr>
        <w:t>六、批后征地实施情况连同经批准的征地补偿安置方案</w:t>
      </w:r>
      <w:r>
        <w:rPr>
          <w:rFonts w:ascii="仿宋" w:hAnsi="仿宋" w:eastAsia="仿宋" w:cs="仿宋"/>
          <w:spacing w:val="23"/>
          <w:sz w:val="30"/>
          <w:szCs w:val="30"/>
        </w:rPr>
        <w:t>和具体项目供地情况须按规定报备。</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 w:line="222" w:lineRule="auto"/>
        <w:ind w:left="5040" w:leftChars="2400"/>
        <w:jc w:val="both"/>
        <w:rPr>
          <w:rFonts w:hint="default" w:ascii="仿宋" w:hAnsi="仿宋" w:eastAsia="仿宋" w:cs="仿宋"/>
          <w:spacing w:val="23"/>
          <w:sz w:val="30"/>
          <w:szCs w:val="30"/>
          <w:lang w:val="en-US" w:eastAsia="zh-CN"/>
        </w:rPr>
      </w:pPr>
      <w:r>
        <w:rPr>
          <w:rFonts w:hint="eastAsia" w:ascii="仿宋" w:hAnsi="仿宋" w:eastAsia="仿宋" w:cs="仿宋"/>
          <w:spacing w:val="23"/>
          <w:sz w:val="30"/>
          <w:szCs w:val="30"/>
          <w:lang w:val="en-US" w:eastAsia="zh-CN"/>
        </w:rPr>
        <w:t>广东省国土资源厅</w:t>
      </w:r>
    </w:p>
    <w:p>
      <w:pPr>
        <w:spacing w:before="40" w:line="221" w:lineRule="auto"/>
        <w:ind w:left="5056"/>
        <w:rPr>
          <w:rFonts w:ascii="仿宋" w:hAnsi="仿宋" w:eastAsia="仿宋" w:cs="仿宋"/>
          <w:sz w:val="30"/>
          <w:szCs w:val="30"/>
        </w:rPr>
      </w:pPr>
      <w:r>
        <w:rPr>
          <w:rFonts w:ascii="仿宋" w:hAnsi="仿宋" w:eastAsia="仿宋" w:cs="仿宋"/>
          <w:spacing w:val="18"/>
          <w:sz w:val="30"/>
          <w:szCs w:val="30"/>
        </w:rPr>
        <w:t>2016</w:t>
      </w:r>
      <w:r>
        <w:rPr>
          <w:rFonts w:hint="eastAsia" w:ascii="仿宋" w:hAnsi="仿宋" w:eastAsia="仿宋" w:cs="仿宋"/>
          <w:spacing w:val="18"/>
          <w:sz w:val="30"/>
          <w:szCs w:val="30"/>
          <w:lang w:val="en-US" w:eastAsia="zh-CN"/>
        </w:rPr>
        <w:t>年7月22</w:t>
      </w:r>
      <w:r>
        <w:rPr>
          <w:rFonts w:ascii="仿宋" w:hAnsi="仿宋" w:eastAsia="仿宋" w:cs="仿宋"/>
          <w:spacing w:val="18"/>
          <w:sz w:val="30"/>
          <w:szCs w:val="30"/>
        </w:rPr>
        <w:t>日</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keepNext w:val="0"/>
        <w:keepLines w:val="0"/>
        <w:pageBreakBefore w:val="0"/>
        <w:widowControl/>
        <w:tabs>
          <w:tab w:val="left" w:pos="519"/>
        </w:tabs>
        <w:kinsoku w:val="0"/>
        <w:wordWrap/>
        <w:overflowPunct/>
        <w:topLinePunct w:val="0"/>
        <w:autoSpaceDE w:val="0"/>
        <w:autoSpaceDN w:val="0"/>
        <w:bidi w:val="0"/>
        <w:adjustRightInd w:val="0"/>
        <w:snapToGrid w:val="0"/>
        <w:spacing w:line="560" w:lineRule="exact"/>
        <w:ind w:left="0" w:right="0" w:firstLine="692"/>
        <w:jc w:val="both"/>
        <w:textAlignment w:val="baseline"/>
        <w:rPr>
          <w:rFonts w:ascii="仿宋" w:hAnsi="仿宋" w:eastAsia="仿宋" w:cs="仿宋"/>
          <w:spacing w:val="20"/>
          <w:sz w:val="32"/>
          <w:szCs w:val="32"/>
        </w:rPr>
      </w:pPr>
      <w:bookmarkStart w:id="0" w:name="_GoBack"/>
      <w:bookmarkEnd w:id="0"/>
    </w:p>
    <w:sectPr>
      <w:footerReference r:id="rId5" w:type="default"/>
      <w:pgSz w:w="12070" w:h="16960"/>
      <w:pgMar w:top="1441" w:right="1780" w:bottom="1880" w:left="1670" w:header="0" w:footer="18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rPr>
        <w:rFonts w:ascii="Arial"/>
        <w:sz w:val="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c3MmFjZmRiMWFmNWI2M2I0ZGM5ZWFiMWY3YjM3MjMifQ=="/>
  </w:docVars>
  <w:rsids>
    <w:rsidRoot w:val="00000000"/>
    <w:rsid w:val="0DFC331D"/>
    <w:rsid w:val="26587A1A"/>
    <w:rsid w:val="35860737"/>
    <w:rsid w:val="4FF071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373</Words>
  <Characters>387</Characters>
  <TotalTime>8</TotalTime>
  <ScaleCrop>false</ScaleCrop>
  <LinksUpToDate>false</LinksUpToDate>
  <CharactersWithSpaces>413</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2023-03-22T11:31:00Z</dcterms:created>
  <dc:creator>Kingsoft-PDF</dc:creator>
  <cp:lastModifiedBy>郭海滨</cp:lastModifiedBy>
  <dcterms:modified xsi:type="dcterms:W3CDTF">2023-03-22T04:11:59Z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2023-03-22T11:31:54Z</vt:filetime>
  </property>
  <property fmtid="{D5CDD505-2E9C-101B-9397-08002B2CF9AE}" pid="4" name="UsrData">
    <vt:lpwstr>641a769f0c8b29001537f562</vt:lpwstr>
  </property>
  <property fmtid="{D5CDD505-2E9C-101B-9397-08002B2CF9AE}" pid="5" name="KSOProductBuildVer">
    <vt:lpwstr>2052-11.8.2.11718</vt:lpwstr>
  </property>
  <property fmtid="{D5CDD505-2E9C-101B-9397-08002B2CF9AE}" pid="6" name="ICV">
    <vt:lpwstr>7DB2582BE3424C9C813511B3BFC39139</vt:lpwstr>
  </property>
</Properties>
</file>