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color w:val="auto"/>
          <w:sz w:val="32"/>
          <w:szCs w:val="32"/>
        </w:rPr>
      </w:pPr>
    </w:p>
    <w:p>
      <w:pPr>
        <w:widowControl/>
        <w:spacing w:line="600" w:lineRule="exact"/>
        <w:ind w:firstLine="645"/>
        <w:jc w:val="right"/>
        <w:textAlignment w:val="baseline"/>
        <w:rPr>
          <w:rFonts w:hint="eastAsia" w:eastAsia="仿宋_GB2312"/>
          <w:color w:val="auto"/>
          <w:sz w:val="32"/>
          <w:szCs w:val="32"/>
        </w:rPr>
      </w:pPr>
    </w:p>
    <w:p>
      <w:pPr>
        <w:widowControl/>
        <w:spacing w:line="600" w:lineRule="exact"/>
        <w:ind w:firstLine="645"/>
        <w:jc w:val="right"/>
        <w:textAlignment w:val="baseline"/>
        <w:rPr>
          <w:rFonts w:hint="eastAsia" w:eastAsia="仿宋_GB2312"/>
          <w:color w:val="auto"/>
          <w:sz w:val="32"/>
          <w:szCs w:val="32"/>
        </w:rPr>
      </w:pPr>
      <w:r>
        <w:rPr>
          <w:rFonts w:hint="eastAsia" w:eastAsia="仿宋_GB2312"/>
          <w:color w:val="auto"/>
          <w:sz w:val="32"/>
          <w:szCs w:val="32"/>
        </w:rPr>
        <w:t>粤府土审</w:t>
      </w:r>
      <w:r>
        <w:rPr>
          <w:rFonts w:hint="eastAsia" w:ascii="Times New Roman" w:hAnsi="Times New Roman" w:eastAsia="仿宋_GB2312" w:cs="Times New Roman"/>
          <w:color w:val="auto"/>
          <w:sz w:val="32"/>
          <w:szCs w:val="32"/>
        </w:rPr>
        <w:t>（02）〔20</w:t>
      </w:r>
      <w:r>
        <w:rPr>
          <w:rFonts w:hint="default"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201</w:t>
      </w:r>
      <w:r>
        <w:rPr>
          <w:rFonts w:hint="eastAsia" w:eastAsia="仿宋_GB2312"/>
          <w:color w:val="auto"/>
          <w:sz w:val="32"/>
          <w:szCs w:val="32"/>
        </w:rPr>
        <w:t>号</w:t>
      </w:r>
    </w:p>
    <w:p>
      <w:pPr>
        <w:spacing w:line="600" w:lineRule="exact"/>
        <w:jc w:val="center"/>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广东省人民政府关于广州市增城区2019年度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auto"/>
          <w:sz w:val="44"/>
          <w:szCs w:val="44"/>
          <w:u w:val="none"/>
        </w:rPr>
      </w:pPr>
      <w:r>
        <w:rPr>
          <w:rFonts w:hint="eastAsia" w:ascii="方正小标宋简体" w:hAnsi="方正小标宋简体" w:eastAsia="方正小标宋简体" w:cs="方正小标宋简体"/>
          <w:bCs/>
          <w:color w:val="auto"/>
          <w:sz w:val="44"/>
          <w:szCs w:val="44"/>
        </w:rPr>
        <w:t>第</w:t>
      </w:r>
      <w:r>
        <w:rPr>
          <w:rFonts w:hint="eastAsia" w:ascii="方正小标宋简体" w:hAnsi="方正小标宋简体" w:eastAsia="方正小标宋简体" w:cs="方正小标宋简体"/>
          <w:bCs/>
          <w:color w:val="auto"/>
          <w:sz w:val="44"/>
          <w:szCs w:val="44"/>
          <w:lang w:eastAsia="zh-CN"/>
        </w:rPr>
        <w:t>三</w:t>
      </w:r>
      <w:r>
        <w:rPr>
          <w:rFonts w:hint="eastAsia" w:ascii="方正小标宋简体" w:hAnsi="方正小标宋简体" w:eastAsia="方正小标宋简体" w:cs="方正小标宋简体"/>
          <w:bCs/>
          <w:color w:val="auto"/>
          <w:sz w:val="44"/>
          <w:szCs w:val="44"/>
        </w:rPr>
        <w:t>批次城镇建设用地</w:t>
      </w:r>
      <w:r>
        <w:rPr>
          <w:rFonts w:hint="eastAsia" w:ascii="方正小标宋简体" w:hAnsi="方正小标宋简体" w:eastAsia="方正小标宋简体" w:cs="方正小标宋简体"/>
          <w:bCs/>
          <w:color w:val="auto"/>
          <w:sz w:val="44"/>
          <w:szCs w:val="44"/>
          <w:u w:val="none"/>
        </w:rPr>
        <w:t>的批复</w:t>
      </w:r>
    </w:p>
    <w:p>
      <w:pPr>
        <w:widowControl/>
        <w:spacing w:line="600" w:lineRule="exact"/>
        <w:jc w:val="center"/>
        <w:textAlignment w:val="baseline"/>
        <w:rPr>
          <w:rFonts w:hint="eastAsia"/>
          <w:b/>
          <w:color w:val="auto"/>
          <w:sz w:val="32"/>
          <w:szCs w:val="32"/>
          <w:u w:val="none"/>
        </w:rPr>
      </w:pPr>
    </w:p>
    <w:p>
      <w:pPr>
        <w:widowControl/>
        <w:spacing w:line="560" w:lineRule="exact"/>
        <w:jc w:val="left"/>
        <w:textAlignment w:val="baseline"/>
        <w:rPr>
          <w:rFonts w:hint="eastAsia" w:eastAsia="仿宋_GB2312"/>
          <w:color w:val="auto"/>
          <w:sz w:val="32"/>
          <w:szCs w:val="32"/>
          <w:u w:val="none"/>
        </w:rPr>
      </w:pPr>
      <w:r>
        <w:rPr>
          <w:rFonts w:hint="eastAsia" w:eastAsia="仿宋_GB2312"/>
          <w:color w:val="auto"/>
          <w:sz w:val="32"/>
          <w:szCs w:val="32"/>
          <w:u w:val="none"/>
        </w:rPr>
        <w:t>广州市人民政府：</w:t>
      </w:r>
    </w:p>
    <w:p>
      <w:pPr>
        <w:widowControl/>
        <w:spacing w:line="52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广州市规划和自然局</w:t>
      </w:r>
      <w:r>
        <w:rPr>
          <w:rFonts w:hint="eastAsia" w:ascii="仿宋_GB2312" w:hAnsi="仿宋_GB2312" w:eastAsia="仿宋_GB2312" w:cs="仿宋_GB2312"/>
          <w:color w:val="auto"/>
          <w:sz w:val="32"/>
          <w:szCs w:val="32"/>
          <w:u w:val="none"/>
        </w:rPr>
        <w:t>关于审批</w:t>
      </w:r>
      <w:r>
        <w:rPr>
          <w:rFonts w:hint="eastAsia" w:ascii="仿宋_GB2312" w:hAnsi="仿宋_GB2312" w:eastAsia="仿宋_GB2312" w:cs="仿宋_GB2312"/>
          <w:color w:val="auto"/>
          <w:sz w:val="32"/>
          <w:szCs w:val="32"/>
          <w:u w:val="none"/>
          <w:lang w:eastAsia="zh-CN"/>
        </w:rPr>
        <w:t>广州市增城区2019年度第三批次城镇建设用地</w:t>
      </w:r>
      <w:r>
        <w:rPr>
          <w:rFonts w:hint="eastAsia" w:ascii="仿宋_GB2312" w:hAnsi="仿宋_GB2312" w:eastAsia="仿宋_GB2312" w:cs="仿宋_GB2312"/>
          <w:color w:val="auto"/>
          <w:sz w:val="32"/>
          <w:szCs w:val="32"/>
          <w:u w:val="none"/>
        </w:rPr>
        <w:t>的请示》（</w:t>
      </w:r>
      <w:r>
        <w:rPr>
          <w:rFonts w:hint="eastAsia" w:ascii="仿宋_GB2312" w:hAnsi="仿宋_GB2312" w:eastAsia="仿宋_GB2312" w:cs="仿宋_GB2312"/>
          <w:color w:val="auto"/>
          <w:sz w:val="32"/>
          <w:szCs w:val="32"/>
          <w:u w:val="none"/>
          <w:lang w:eastAsia="zh-CN"/>
        </w:rPr>
        <w:t>穗规划资源（用地）报</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2022</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342</w:t>
      </w:r>
      <w:r>
        <w:rPr>
          <w:rFonts w:hint="eastAsia" w:ascii="仿宋_GB2312" w:hAnsi="仿宋_GB2312" w:eastAsia="仿宋_GB2312" w:cs="仿宋_GB2312"/>
          <w:color w:val="auto"/>
          <w:sz w:val="32"/>
          <w:szCs w:val="32"/>
          <w:u w:val="none"/>
        </w:rPr>
        <w:t>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《广州市增城区人民政府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u w:val="none"/>
          <w:lang w:eastAsia="zh-CN"/>
        </w:rPr>
        <w:t>广州市增城区2019年度第三批次城镇建设用地</w:t>
      </w:r>
      <w:r>
        <w:rPr>
          <w:rFonts w:hint="eastAsia" w:ascii="仿宋_GB2312" w:hAnsi="仿宋_GB2312" w:eastAsia="仿宋_GB2312" w:cs="仿宋_GB2312"/>
          <w:color w:val="auto"/>
          <w:sz w:val="32"/>
          <w:szCs w:val="32"/>
          <w:lang w:val="en-US" w:eastAsia="zh-CN"/>
        </w:rPr>
        <w:t>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lang w:val="en-US" w:eastAsia="zh-CN"/>
        </w:rPr>
        <w:t>（增府报</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75</w:t>
      </w:r>
      <w:r>
        <w:rPr>
          <w:rFonts w:hint="eastAsia" w:ascii="仿宋_GB2312" w:hAnsi="仿宋_GB2312" w:eastAsia="仿宋_GB2312" w:cs="仿宋_GB2312"/>
          <w:color w:val="auto"/>
          <w:sz w:val="32"/>
          <w:szCs w:val="32"/>
          <w:highlight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条的有关规定，批</w:t>
      </w:r>
      <w:r>
        <w:rPr>
          <w:rFonts w:hint="eastAsia" w:ascii="仿宋_GB2312" w:hAnsi="仿宋_GB2312" w:eastAsia="仿宋_GB2312" w:cs="仿宋_GB2312"/>
          <w:color w:val="auto"/>
          <w:sz w:val="32"/>
          <w:szCs w:val="32"/>
          <w:u w:val="none"/>
        </w:rPr>
        <w:t>复如下：</w:t>
      </w:r>
    </w:p>
    <w:p>
      <w:pPr>
        <w:pStyle w:val="6"/>
        <w:widowControl w:val="0"/>
        <w:autoSpaceDE w:val="0"/>
        <w:autoSpaceDN w:val="0"/>
        <w:spacing w:line="52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highlight w:val="none"/>
        </w:rPr>
        <w:t>同意使用</w:t>
      </w:r>
      <w:r>
        <w:rPr>
          <w:rFonts w:hint="eastAsia" w:ascii="仿宋_GB2312" w:hAnsi="仿宋_GB2312" w:eastAsia="仿宋_GB2312" w:cs="仿宋_GB2312"/>
          <w:color w:val="auto"/>
          <w:sz w:val="32"/>
          <w:szCs w:val="32"/>
          <w:lang w:val="en-US" w:eastAsia="zh-CN"/>
        </w:rPr>
        <w:t>9.4475</w:t>
      </w:r>
      <w:r>
        <w:rPr>
          <w:rFonts w:hint="eastAsia" w:ascii="仿宋_GB2312" w:hAnsi="仿宋_GB2312" w:eastAsia="仿宋_GB2312" w:cs="仿宋_GB2312"/>
          <w:color w:val="auto"/>
          <w:sz w:val="32"/>
          <w:szCs w:val="32"/>
          <w:highlight w:val="none"/>
        </w:rPr>
        <w:t>公顷城</w:t>
      </w:r>
      <w:r>
        <w:rPr>
          <w:rFonts w:hint="eastAsia" w:ascii="仿宋_GB2312" w:hAnsi="仿宋_GB2312" w:eastAsia="仿宋_GB2312" w:cs="仿宋_GB2312"/>
          <w:color w:val="auto"/>
          <w:sz w:val="32"/>
          <w:szCs w:val="32"/>
          <w:highlight w:val="none"/>
          <w:lang w:eastAsia="zh-CN"/>
        </w:rPr>
        <w:t>镇</w:t>
      </w:r>
      <w:r>
        <w:rPr>
          <w:rFonts w:hint="eastAsia" w:ascii="仿宋_GB2312" w:hAnsi="仿宋_GB2312" w:eastAsia="仿宋_GB2312" w:cs="仿宋_GB2312"/>
          <w:color w:val="auto"/>
          <w:sz w:val="32"/>
          <w:szCs w:val="32"/>
          <w:highlight w:val="none"/>
        </w:rPr>
        <w:t>建设用地</w:t>
      </w:r>
      <w:r>
        <w:rPr>
          <w:rFonts w:hint="eastAsia" w:ascii="仿宋_GB2312" w:hAnsi="仿宋_GB2312" w:eastAsia="仿宋_GB2312" w:cs="仿宋_GB2312"/>
          <w:color w:val="auto"/>
          <w:sz w:val="32"/>
          <w:szCs w:val="32"/>
          <w:u w:val="none"/>
          <w:lang w:eastAsia="zh-CN"/>
        </w:rPr>
        <w:t>，即</w:t>
      </w:r>
      <w:r>
        <w:rPr>
          <w:rFonts w:hint="eastAsia" w:ascii="仿宋_GB2312" w:hAnsi="仿宋_GB2312" w:eastAsia="仿宋_GB2312" w:cs="仿宋_GB2312"/>
          <w:color w:val="auto"/>
          <w:sz w:val="32"/>
          <w:szCs w:val="32"/>
          <w:u w:val="none"/>
        </w:rPr>
        <w:t>同意你市将</w:t>
      </w:r>
      <w:r>
        <w:rPr>
          <w:rFonts w:hint="eastAsia" w:ascii="仿宋_GB2312" w:hAnsi="仿宋_GB2312" w:eastAsia="仿宋_GB2312" w:cs="仿宋_GB2312"/>
          <w:color w:val="auto"/>
          <w:sz w:val="32"/>
          <w:szCs w:val="32"/>
          <w:u w:val="none"/>
          <w:lang w:eastAsia="zh-CN"/>
        </w:rPr>
        <w:t>增城</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荔湖</w:t>
      </w:r>
      <w:r>
        <w:rPr>
          <w:rFonts w:hint="eastAsia" w:ascii="仿宋_GB2312" w:hAnsi="仿宋_GB2312" w:eastAsia="仿宋_GB2312" w:cs="仿宋_GB2312"/>
          <w:color w:val="auto"/>
          <w:sz w:val="32"/>
          <w:szCs w:val="32"/>
        </w:rPr>
        <w:t>街</w:t>
      </w:r>
      <w:r>
        <w:rPr>
          <w:rFonts w:hint="eastAsia" w:ascii="仿宋_GB2312" w:hAnsi="仿宋_GB2312" w:eastAsia="仿宋_GB2312" w:cs="仿宋_GB2312"/>
          <w:color w:val="auto"/>
          <w:sz w:val="32"/>
          <w:szCs w:val="32"/>
          <w:lang w:eastAsia="zh-CN"/>
        </w:rPr>
        <w:t>光明村沐鱼岭股份经济合作社</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明星村股份经济联合社、明星村横岭</w:t>
      </w:r>
      <w:r>
        <w:rPr>
          <w:rFonts w:hint="eastAsia" w:ascii="仿宋_GB2312" w:hAnsi="仿宋_GB2312" w:eastAsia="仿宋_GB2312" w:cs="仿宋_GB2312"/>
          <w:color w:val="auto"/>
          <w:sz w:val="32"/>
          <w:szCs w:val="32"/>
        </w:rPr>
        <w:t>经济合作社</w:t>
      </w:r>
      <w:r>
        <w:rPr>
          <w:rFonts w:hint="eastAsia" w:ascii="仿宋_GB2312" w:hAnsi="仿宋_GB2312" w:eastAsia="仿宋_GB2312" w:cs="仿宋_GB2312"/>
          <w:color w:val="auto"/>
          <w:sz w:val="32"/>
          <w:szCs w:val="32"/>
          <w:lang w:eastAsia="zh-CN"/>
        </w:rPr>
        <w:t>以及明星村安和、椅一、椅二、田心、天合股份经济合作社</w:t>
      </w:r>
      <w:r>
        <w:rPr>
          <w:rFonts w:hint="eastAsia" w:ascii="仿宋_GB2312" w:hAnsi="仿宋_GB2312" w:eastAsia="仿宋_GB2312" w:cs="仿宋_GB2312"/>
          <w:color w:val="auto"/>
          <w:sz w:val="32"/>
          <w:szCs w:val="32"/>
          <w:u w:val="none"/>
        </w:rPr>
        <w:t>属下的集体农用地</w:t>
      </w:r>
      <w:r>
        <w:rPr>
          <w:rFonts w:hint="eastAsia" w:ascii="仿宋_GB2312" w:hAnsi="仿宋_GB2312" w:eastAsia="仿宋_GB2312" w:cs="仿宋_GB2312"/>
          <w:color w:val="auto"/>
          <w:sz w:val="32"/>
          <w:szCs w:val="32"/>
          <w:lang w:val="en-US" w:eastAsia="zh-CN"/>
        </w:rPr>
        <w:t>9.4475</w:t>
      </w:r>
      <w:r>
        <w:rPr>
          <w:rFonts w:hint="eastAsia" w:ascii="仿宋_GB2312" w:hAnsi="仿宋_GB2312" w:eastAsia="仿宋_GB2312" w:cs="仿宋_GB2312"/>
          <w:color w:val="auto"/>
          <w:sz w:val="32"/>
          <w:szCs w:val="32"/>
          <w:u w:val="none"/>
        </w:rPr>
        <w:t>公顷（</w:t>
      </w:r>
      <w:r>
        <w:rPr>
          <w:rFonts w:hint="eastAsia" w:ascii="仿宋_GB2312" w:hAnsi="仿宋_GB2312" w:eastAsia="仿宋_GB2312" w:cs="仿宋_GB2312"/>
          <w:color w:val="auto"/>
          <w:sz w:val="32"/>
          <w:szCs w:val="32"/>
          <w:u w:val="none"/>
          <w:lang w:eastAsia="zh-CN"/>
        </w:rPr>
        <w:t>其中</w:t>
      </w:r>
      <w:r>
        <w:rPr>
          <w:rFonts w:hint="eastAsia" w:ascii="仿宋_GB2312" w:hAnsi="仿宋_GB2312" w:eastAsia="仿宋_GB2312" w:cs="仿宋_GB2312"/>
          <w:color w:val="auto"/>
          <w:sz w:val="32"/>
          <w:szCs w:val="32"/>
          <w:u w:val="none"/>
        </w:rPr>
        <w:t>耕地</w:t>
      </w:r>
      <w:r>
        <w:rPr>
          <w:rFonts w:hint="eastAsia" w:ascii="仿宋_GB2312" w:hAnsi="仿宋_GB2312" w:eastAsia="仿宋_GB2312" w:cs="仿宋_GB2312"/>
          <w:color w:val="auto"/>
          <w:sz w:val="32"/>
          <w:szCs w:val="32"/>
          <w:lang w:val="en-US" w:eastAsia="zh-CN"/>
        </w:rPr>
        <w:t>0.4853</w:t>
      </w:r>
      <w:r>
        <w:rPr>
          <w:rFonts w:hint="eastAsia" w:ascii="仿宋_GB2312" w:hAnsi="仿宋_GB2312" w:eastAsia="仿宋_GB2312" w:cs="仿宋_GB2312"/>
          <w:color w:val="auto"/>
          <w:sz w:val="32"/>
          <w:szCs w:val="32"/>
          <w:u w:val="none"/>
        </w:rPr>
        <w:t>公顷）转为建设用地，以上合计</w:t>
      </w:r>
      <w:r>
        <w:rPr>
          <w:rFonts w:hint="eastAsia" w:ascii="仿宋_GB2312" w:hAnsi="仿宋_GB2312" w:eastAsia="仿宋_GB2312" w:cs="仿宋_GB2312"/>
          <w:color w:val="auto"/>
          <w:sz w:val="32"/>
          <w:szCs w:val="32"/>
          <w:lang w:val="en-US" w:eastAsia="zh-CN"/>
        </w:rPr>
        <w:t>9.4475</w:t>
      </w:r>
      <w:r>
        <w:rPr>
          <w:rFonts w:hint="eastAsia" w:ascii="仿宋_GB2312" w:hAnsi="仿宋_GB2312" w:eastAsia="仿宋_GB2312" w:cs="仿宋_GB2312"/>
          <w:color w:val="auto"/>
          <w:sz w:val="32"/>
          <w:szCs w:val="32"/>
          <w:u w:val="none"/>
        </w:rPr>
        <w:t>公顷集体土地一并办理</w:t>
      </w:r>
      <w:r>
        <w:rPr>
          <w:rFonts w:hint="eastAsia" w:ascii="仿宋_GB2312" w:hAnsi="仿宋_GB2312" w:eastAsia="仿宋_GB2312" w:cs="仿宋_GB2312"/>
          <w:color w:val="auto"/>
          <w:sz w:val="32"/>
          <w:szCs w:val="32"/>
          <w:u w:val="none"/>
          <w:lang w:eastAsia="zh-CN"/>
        </w:rPr>
        <w:t>征地</w:t>
      </w:r>
      <w:r>
        <w:rPr>
          <w:rFonts w:hint="eastAsia" w:ascii="仿宋_GB2312" w:hAnsi="仿宋_GB2312" w:eastAsia="仿宋_GB2312" w:cs="仿宋_GB2312"/>
          <w:color w:val="auto"/>
          <w:sz w:val="32"/>
          <w:szCs w:val="32"/>
          <w:u w:val="none"/>
        </w:rPr>
        <w:t>手续</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rPr>
        <w:t>上述土地（合计</w:t>
      </w:r>
      <w:r>
        <w:rPr>
          <w:rFonts w:hint="eastAsia" w:ascii="仿宋_GB2312" w:hAnsi="仿宋_GB2312" w:eastAsia="仿宋_GB2312" w:cs="仿宋_GB2312"/>
          <w:color w:val="auto"/>
          <w:sz w:val="32"/>
          <w:szCs w:val="32"/>
          <w:lang w:val="en-US" w:eastAsia="zh-CN"/>
        </w:rPr>
        <w:t>9.4475</w:t>
      </w:r>
      <w:r>
        <w:rPr>
          <w:rFonts w:hint="eastAsia" w:ascii="仿宋_GB2312" w:hAnsi="仿宋_GB2312" w:eastAsia="仿宋_GB2312" w:cs="仿宋_GB2312"/>
          <w:color w:val="auto"/>
          <w:sz w:val="32"/>
          <w:szCs w:val="32"/>
        </w:rPr>
        <w:t>公顷）经完善</w:t>
      </w:r>
      <w:r>
        <w:rPr>
          <w:rFonts w:hint="eastAsia" w:ascii="仿宋_GB2312" w:hAnsi="仿宋_GB2312" w:eastAsia="仿宋_GB2312" w:cs="仿宋_GB2312"/>
          <w:color w:val="auto"/>
          <w:sz w:val="32"/>
          <w:szCs w:val="32"/>
          <w:u w:val="none"/>
        </w:rPr>
        <w:t>相关</w:t>
      </w:r>
      <w:r>
        <w:rPr>
          <w:rFonts w:hint="eastAsia" w:ascii="仿宋_GB2312" w:hAnsi="仿宋_GB2312" w:eastAsia="仿宋_GB2312" w:cs="仿宋_GB2312"/>
          <w:color w:val="auto"/>
          <w:sz w:val="32"/>
          <w:szCs w:val="32"/>
        </w:rPr>
        <w:t>手续后</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当地人民政府按照土地利用总体规划和城乡规划确定的用途供应</w:t>
      </w:r>
      <w:r>
        <w:rPr>
          <w:rFonts w:hint="eastAsia" w:ascii="仿宋_GB2312" w:hAnsi="仿宋_GB2312" w:eastAsia="仿宋_GB2312" w:cs="仿宋_GB2312"/>
          <w:color w:val="auto"/>
          <w:sz w:val="32"/>
          <w:szCs w:val="32"/>
        </w:rPr>
        <w:t>。</w:t>
      </w:r>
    </w:p>
    <w:p>
      <w:pPr>
        <w:spacing w:line="520" w:lineRule="exact"/>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。督促补充耕地责任单位认真按照补充耕地方案，补充数量相等、质量相当的耕地，对应核销耕地数量、水田规模和标准粮食产能指标（确认信息编号：</w:t>
      </w:r>
      <w:r>
        <w:rPr>
          <w:rFonts w:hint="eastAsia" w:ascii="仿宋_GB2312" w:hAnsi="仿宋_GB2312" w:eastAsia="仿宋_GB2312" w:cs="仿宋_GB2312"/>
          <w:color w:val="auto"/>
          <w:sz w:val="32"/>
          <w:szCs w:val="32"/>
          <w:lang w:val="en-US" w:eastAsia="zh-CN"/>
        </w:rPr>
        <w:t>440000202210967106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val="en-US" w:eastAsia="zh-CN"/>
        </w:rPr>
        <w:t>。</w:t>
      </w:r>
    </w:p>
    <w:p>
      <w:pPr>
        <w:widowControl/>
        <w:numPr>
          <w:ilvl w:val="0"/>
          <w:numId w:val="1"/>
        </w:numPr>
        <w:spacing w:line="520" w:lineRule="exact"/>
        <w:ind w:firstLine="645"/>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 </w:t>
      </w:r>
    </w:p>
    <w:p>
      <w:pPr>
        <w:widowControl/>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pPr>
        <w:widowControl/>
        <w:spacing w:line="52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u w:val="none"/>
        </w:rPr>
        <w:t>征地批后实施情况和</w:t>
      </w:r>
      <w:r>
        <w:rPr>
          <w:rFonts w:hint="eastAsia" w:ascii="仿宋_GB2312" w:hAnsi="仿宋_GB2312" w:eastAsia="仿宋_GB2312" w:cs="仿宋_GB2312"/>
          <w:color w:val="auto"/>
          <w:sz w:val="32"/>
          <w:szCs w:val="32"/>
          <w:highlight w:val="none"/>
        </w:rPr>
        <w:t>具体项目供地情况须按规定报备。</w:t>
      </w:r>
    </w:p>
    <w:p>
      <w:pPr>
        <w:widowControl/>
        <w:spacing w:line="540" w:lineRule="exact"/>
        <w:textAlignment w:val="baseline"/>
        <w:rPr>
          <w:rFonts w:eastAsia="仿宋_GB2312"/>
          <w:color w:val="auto"/>
          <w:sz w:val="32"/>
          <w:szCs w:val="32"/>
        </w:rPr>
      </w:pPr>
    </w:p>
    <w:p>
      <w:pPr>
        <w:widowControl/>
        <w:spacing w:line="540" w:lineRule="exact"/>
        <w:textAlignment w:val="baseline"/>
        <w:rPr>
          <w:rFonts w:eastAsia="仿宋_GB2312"/>
          <w:color w:val="auto"/>
          <w:sz w:val="32"/>
          <w:szCs w:val="32"/>
        </w:rPr>
      </w:pPr>
    </w:p>
    <w:p>
      <w:pPr>
        <w:widowControl/>
        <w:spacing w:line="540" w:lineRule="exact"/>
        <w:textAlignment w:val="baseline"/>
        <w:rPr>
          <w:rFonts w:eastAsia="仿宋_GB2312"/>
          <w:color w:val="auto"/>
          <w:sz w:val="32"/>
          <w:szCs w:val="32"/>
        </w:rPr>
      </w:pPr>
    </w:p>
    <w:p>
      <w:pPr>
        <w:widowControl/>
        <w:spacing w:line="540" w:lineRule="exact"/>
        <w:textAlignment w:val="baseline"/>
        <w:rPr>
          <w:rFonts w:eastAsia="仿宋_GB2312"/>
          <w:color w:val="auto"/>
          <w:sz w:val="32"/>
          <w:szCs w:val="32"/>
        </w:rPr>
      </w:pPr>
    </w:p>
    <w:p>
      <w:pPr>
        <w:widowControl/>
        <w:spacing w:line="540" w:lineRule="exact"/>
        <w:ind w:firstLine="645"/>
        <w:textAlignment w:val="baseline"/>
        <w:rPr>
          <w:rFonts w:eastAsia="仿宋_GB2312"/>
          <w:color w:val="auto"/>
          <w:sz w:val="32"/>
          <w:szCs w:val="32"/>
        </w:rPr>
      </w:pPr>
      <w:r>
        <w:rPr>
          <w:rFonts w:hint="eastAsia" w:eastAsia="仿宋_GB2312"/>
          <w:color w:val="auto"/>
          <w:sz w:val="32"/>
          <w:szCs w:val="32"/>
        </w:rPr>
        <w:t xml:space="preserve">                               </w:t>
      </w:r>
      <w:r>
        <w:rPr>
          <w:rFonts w:eastAsia="仿宋_GB2312"/>
          <w:color w:val="auto"/>
          <w:sz w:val="32"/>
          <w:szCs w:val="32"/>
        </w:rPr>
        <w:t>广东省人民政府</w:t>
      </w:r>
    </w:p>
    <w:p>
      <w:pPr>
        <w:widowControl/>
        <w:spacing w:line="540" w:lineRule="exact"/>
        <w:ind w:firstLine="645"/>
        <w:jc w:val="center"/>
        <w:textAlignment w:val="baseline"/>
        <w:rPr>
          <w:rFonts w:hint="eastAsia" w:eastAsia="仿宋_GB2312"/>
          <w:color w:val="auto"/>
          <w:sz w:val="32"/>
          <w:szCs w:val="32"/>
        </w:rPr>
      </w:pPr>
      <w:r>
        <w:rPr>
          <w:rFonts w:hint="eastAsia" w:eastAsia="仿宋_GB2312"/>
          <w:color w:val="auto"/>
          <w:sz w:val="32"/>
          <w:szCs w:val="32"/>
        </w:rPr>
        <w:t xml:space="preserve">                    </w:t>
      </w:r>
      <w:r>
        <w:rPr>
          <w:rFonts w:hint="eastAsia" w:eastAsia="仿宋_GB2312"/>
          <w:color w:val="auto"/>
          <w:sz w:val="32"/>
          <w:szCs w:val="32"/>
          <w:lang w:val="en-US" w:eastAsia="zh-CN"/>
        </w:rPr>
        <w:t xml:space="preserve">    2022</w:t>
      </w:r>
      <w:r>
        <w:rPr>
          <w:rFonts w:eastAsia="仿宋_GB2312"/>
          <w:color w:val="auto"/>
          <w:sz w:val="32"/>
          <w:szCs w:val="32"/>
        </w:rPr>
        <w:t>年</w:t>
      </w:r>
      <w:r>
        <w:rPr>
          <w:rFonts w:hint="eastAsia" w:eastAsia="仿宋_GB2312"/>
          <w:color w:val="auto"/>
          <w:sz w:val="32"/>
          <w:szCs w:val="32"/>
          <w:lang w:val="en-US" w:eastAsia="zh-CN"/>
        </w:rPr>
        <w:t>12</w:t>
      </w:r>
      <w:r>
        <w:rPr>
          <w:rFonts w:eastAsia="仿宋_GB2312"/>
          <w:color w:val="auto"/>
          <w:sz w:val="32"/>
          <w:szCs w:val="32"/>
        </w:rPr>
        <w:t>月</w:t>
      </w:r>
      <w:r>
        <w:rPr>
          <w:rFonts w:hint="eastAsia" w:eastAsia="仿宋_GB2312"/>
          <w:color w:val="auto"/>
          <w:sz w:val="32"/>
          <w:szCs w:val="32"/>
          <w:lang w:val="en-US" w:eastAsia="zh-CN"/>
        </w:rPr>
        <w:t>15</w:t>
      </w:r>
      <w:r>
        <w:rPr>
          <w:rFonts w:eastAsia="仿宋_GB2312"/>
          <w:color w:val="auto"/>
          <w:sz w:val="32"/>
          <w:szCs w:val="32"/>
        </w:rPr>
        <w:t>日</w:t>
      </w:r>
    </w:p>
    <w:p>
      <w:pPr>
        <w:widowControl/>
        <w:spacing w:line="540" w:lineRule="exact"/>
        <w:textAlignment w:val="baseline"/>
        <w:rPr>
          <w:rFonts w:hint="eastAsia" w:eastAsia="仿宋_GB2312"/>
          <w:color w:val="auto"/>
          <w:sz w:val="32"/>
          <w:szCs w:val="32"/>
        </w:rPr>
      </w:pPr>
    </w:p>
    <w:p>
      <w:pPr>
        <w:widowControl/>
        <w:spacing w:line="540" w:lineRule="exact"/>
        <w:textAlignment w:val="baseline"/>
        <w:rPr>
          <w:rFonts w:hint="eastAsia" w:eastAsia="仿宋_GB2312"/>
          <w:color w:val="auto"/>
          <w:sz w:val="32"/>
          <w:szCs w:val="32"/>
        </w:rPr>
      </w:pPr>
      <w:bookmarkStart w:id="0" w:name="_GoBack"/>
      <w:bookmarkEnd w:id="0"/>
    </w:p>
    <w:p>
      <w:pPr>
        <w:widowControl/>
        <w:spacing w:line="540" w:lineRule="exact"/>
        <w:textAlignment w:val="baseline"/>
        <w:rPr>
          <w:rFonts w:hint="eastAsia" w:eastAsia="仿宋_GB2312"/>
          <w:color w:val="auto"/>
          <w:sz w:val="32"/>
          <w:szCs w:val="32"/>
        </w:rPr>
      </w:pPr>
    </w:p>
    <w:p>
      <w:pPr>
        <w:widowControl/>
        <w:spacing w:line="540" w:lineRule="exact"/>
        <w:textAlignment w:val="baseline"/>
        <w:rPr>
          <w:rFonts w:hint="eastAsia" w:eastAsia="仿宋_GB2312"/>
          <w:color w:val="auto"/>
          <w:sz w:val="32"/>
          <w:szCs w:val="32"/>
        </w:rPr>
      </w:pPr>
    </w:p>
    <w:p>
      <w:pPr>
        <w:spacing w:line="540" w:lineRule="exact"/>
        <w:rPr>
          <w:rFonts w:hint="eastAsia" w:eastAsia="仿宋_GB2312"/>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pPr>
        <w:spacing w:line="540" w:lineRule="exact"/>
        <w:ind w:left="1104" w:leftChars="201" w:hanging="690" w:hangingChars="250"/>
        <w:rPr>
          <w:rFonts w:hint="default" w:eastAsia="仿宋_GB2312"/>
          <w:color w:val="auto"/>
          <w:sz w:val="28"/>
          <w:szCs w:val="28"/>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default" w:eastAsia="仿宋_GB2312"/>
          <w:color w:val="auto"/>
          <w:sz w:val="28"/>
          <w:szCs w:val="28"/>
        </w:rPr>
        <w:t>。</w:t>
      </w:r>
    </w:p>
    <w:p>
      <w:pPr>
        <w:spacing w:line="600" w:lineRule="exact"/>
        <w:ind w:left="1207" w:leftChars="586" w:right="824" w:rightChars="400" w:firstLine="3400" w:firstLineChars="1232"/>
        <w:jc w:val="right"/>
      </w:pPr>
      <w:r>
        <w:rPr>
          <w:rFonts w:hint="eastAsia" w:eastAsia="仿宋_GB2312" w:cs="Times New Roman"/>
          <w:color w:val="auto"/>
          <w:sz w:val="28"/>
          <w:szCs w:val="28"/>
          <w:lang w:val="en-US" w:eastAsia="zh-CN"/>
        </w:rPr>
        <w:t>2022</w:t>
      </w:r>
      <w:r>
        <w:rPr>
          <w:rFonts w:hint="eastAsia" w:eastAsia="仿宋_GB2312"/>
          <w:color w:val="auto"/>
          <w:sz w:val="28"/>
          <w:szCs w:val="28"/>
        </w:rPr>
        <w:t>年</w:t>
      </w:r>
      <w:r>
        <w:rPr>
          <w:rFonts w:hint="eastAsia" w:eastAsia="仿宋_GB2312" w:cs="Times New Roman"/>
          <w:color w:val="auto"/>
          <w:sz w:val="28"/>
          <w:szCs w:val="28"/>
          <w:lang w:val="en-US" w:eastAsia="zh-CN"/>
        </w:rPr>
        <w:t>12</w:t>
      </w:r>
      <w:r>
        <w:rPr>
          <w:rFonts w:hint="eastAsia" w:eastAsia="仿宋_GB2312"/>
          <w:color w:val="auto"/>
          <w:sz w:val="28"/>
          <w:szCs w:val="28"/>
        </w:rPr>
        <w:t>月</w:t>
      </w:r>
      <w:r>
        <w:rPr>
          <w:rFonts w:hint="eastAsia" w:eastAsia="仿宋_GB2312" w:cs="Times New Roman"/>
          <w:color w:val="auto"/>
          <w:sz w:val="28"/>
          <w:szCs w:val="28"/>
          <w:lang w:val="en-US" w:eastAsia="zh-CN"/>
        </w:rPr>
        <w:t>23</w:t>
      </w:r>
      <w:r>
        <w:rPr>
          <w:rFonts w:hint="eastAsia" w:eastAsia="仿宋_GB2312"/>
          <w:color w:val="auto"/>
          <w:sz w:val="28"/>
          <w:szCs w:val="28"/>
        </w:rPr>
        <w:t>日印发</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D2D0B"/>
    <w:multiLevelType w:val="singleLevel"/>
    <w:tmpl w:val="420D2D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05C88"/>
    <w:rsid w:val="17A742A7"/>
    <w:rsid w:val="64526DDA"/>
    <w:rsid w:val="719624C6"/>
    <w:rsid w:val="77F0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2022-12-19T07:29:00Z</dcterms:created>
  <dc:creator>颜嘉雯</dc:creator>
  <cp:lastModifiedBy>Administrator</cp:lastModifiedBy>
  <dcterms:modified xsi:type="dcterms:W3CDTF">2023-01-10T09:24:24Z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