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60" w:lineRule="exact"/>
        <w:jc w:val="both"/>
        <w:textAlignment w:val="auto"/>
        <w:rPr>
          <w:rFonts w:hint="eastAsia" w:ascii="方正小标宋_GBK" w:hAnsi="方正小标宋_GBK" w:eastAsia="方正小标宋_GBK" w:cs="方正小标宋_GBK"/>
          <w:b w:val="0"/>
          <w:bCs/>
          <w:color w:val="000000"/>
          <w:sz w:val="44"/>
          <w:szCs w:val="44"/>
          <w:lang w:val="en-US" w:eastAsia="zh-CN"/>
        </w:rPr>
      </w:pPr>
    </w:p>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关于</w:t>
      </w:r>
      <w:r>
        <w:rPr>
          <w:rFonts w:hint="eastAsia" w:ascii="方正小标宋简体" w:hAnsi="方正小标宋简体" w:eastAsia="方正小标宋简体" w:cs="方正小标宋简体"/>
          <w:color w:val="auto"/>
          <w:sz w:val="44"/>
          <w:szCs w:val="44"/>
          <w:lang w:val="en-US" w:eastAsia="zh-CN"/>
        </w:rPr>
        <w:t>珠三角城际轨道交通广佛环线佛山西站至广州北站段（佛山段）</w:t>
      </w:r>
      <w:r>
        <w:rPr>
          <w:rFonts w:hint="eastAsia" w:ascii="方正小标宋简体" w:hAnsi="方正小标宋简体" w:eastAsia="方正小标宋简体" w:cs="方正小标宋简体"/>
          <w:color w:val="auto"/>
          <w:sz w:val="44"/>
          <w:szCs w:val="44"/>
          <w:lang w:eastAsia="zh-CN"/>
        </w:rPr>
        <w:t>征地项目的被征地</w:t>
      </w:r>
    </w:p>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农民养老保障方案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依照《中华人民共和国土地管理法》《关于切实做好被征地农民社会保障工作有关问题的通知》（劳社部发〔2007〕14号，下称劳社部发〔2007〕14号）和《广东省人民政府办公厅转发省人力资源社会保障厅关于进一步完善我省被征地农民养老保障政策意见的通知》（粤府办〔2021〕22号）</w:t>
      </w:r>
      <w:r>
        <w:rPr>
          <w:rFonts w:hint="eastAsia" w:ascii="仿宋_GB2312" w:hAnsi="仿宋_GB2312" w:cs="仿宋_GB2312"/>
          <w:color w:val="auto"/>
          <w:kern w:val="0"/>
          <w:shd w:val="clear" w:color="auto" w:fill="FFFFFF"/>
          <w:lang w:bidi="ar"/>
        </w:rPr>
        <w:t>和《广州市人民政府办公厅转发关于进一步完善我省被征地农民养老保障政策意见的通知》（穗府办规〔2022〕3号）等有关规定</w:t>
      </w:r>
      <w:r>
        <w:rPr>
          <w:rFonts w:hint="eastAsia" w:ascii="仿宋_GB2312" w:hAnsi="仿宋_GB2312" w:eastAsia="仿宋_GB2312" w:cs="仿宋_GB2312"/>
          <w:color w:val="auto"/>
          <w:lang w:val="en-US" w:eastAsia="zh-CN"/>
        </w:rPr>
        <w:t>，拟定</w:t>
      </w:r>
      <w:r>
        <w:rPr>
          <w:rFonts w:hint="eastAsia" w:ascii="仿宋_GB2312" w:hAnsi="仿宋_GB2312" w:cs="仿宋_GB2312"/>
          <w:color w:val="auto"/>
          <w:lang w:val="en-US" w:eastAsia="zh-CN"/>
        </w:rPr>
        <w:t>珠三角城际轨道交通广佛环线佛山西站至广州北站段（佛山段）</w:t>
      </w:r>
      <w:r>
        <w:rPr>
          <w:rFonts w:hint="eastAsia" w:ascii="仿宋_GB2312" w:hAnsi="仿宋_GB2312" w:eastAsia="仿宋_GB2312" w:cs="仿宋_GB2312"/>
          <w:color w:val="auto"/>
          <w:lang w:val="en-US" w:eastAsia="zh-CN"/>
        </w:rPr>
        <w:t>征地项目被征地农民养老保障方案如下：</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珠三角城际轨道交通广佛环线佛山西站至广州北站段（佛山段）</w:t>
      </w:r>
      <w:r>
        <w:rPr>
          <w:rFonts w:hint="eastAsia" w:ascii="仿宋_GB2312" w:hAnsi="仿宋_GB2312" w:eastAsia="仿宋_GB2312" w:cs="仿宋_GB2312"/>
          <w:color w:val="auto"/>
          <w:lang w:val="en-US" w:eastAsia="zh-CN"/>
        </w:rPr>
        <w:t>征地项目涉及的被征地农民实施社会养老保障。</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该用地项目征收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炭步镇茶塘村、㘵溪村、环山村</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的</w:t>
      </w:r>
      <w:r>
        <w:rPr>
          <w:rFonts w:hint="eastAsia" w:ascii="仿宋_GB2312" w:hAnsi="仿宋_GB2312" w:cs="仿宋_GB2312"/>
          <w:i w:val="0"/>
          <w:caps w:val="0"/>
          <w:color w:val="auto"/>
          <w:spacing w:val="0"/>
          <w:kern w:val="0"/>
          <w:sz w:val="32"/>
          <w:szCs w:val="32"/>
          <w:shd w:val="clear" w:color="auto" w:fill="FFFFFF"/>
          <w:lang w:val="en-US" w:eastAsia="zh-CN" w:bidi="ar"/>
        </w:rPr>
        <w:t>土地面积1.6815</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亩属于农村集体经济组织留用地</w:t>
      </w:r>
      <w:r>
        <w:rPr>
          <w:rFonts w:hint="eastAsia" w:ascii="仿宋_GB2312" w:hAnsi="仿宋_GB2312" w:cs="仿宋_GB2312"/>
          <w:color w:val="auto"/>
        </w:rPr>
        <w:t>，</w:t>
      </w:r>
      <w:r>
        <w:rPr>
          <w:rFonts w:hint="eastAsia" w:ascii="仿宋_GB2312" w:hAnsi="仿宋_GB2312" w:cs="仿宋_GB2312"/>
        </w:rPr>
        <w:t>征地双</w:t>
      </w:r>
      <w:r>
        <w:rPr>
          <w:rFonts w:hint="eastAsia" w:ascii="仿宋_GB2312" w:hAnsi="仿宋_GB2312" w:cs="仿宋_GB2312"/>
          <w:color w:val="auto"/>
        </w:rPr>
        <w:t>方</w:t>
      </w:r>
      <w:r>
        <w:rPr>
          <w:rFonts w:hint="eastAsia" w:ascii="仿宋_GB2312" w:hAnsi="仿宋_GB2312" w:cs="仿宋_GB2312"/>
          <w:color w:val="auto"/>
          <w:lang w:eastAsia="zh-CN"/>
        </w:rPr>
        <w:t>目前未签订</w:t>
      </w:r>
      <w:r>
        <w:rPr>
          <w:rFonts w:hint="eastAsia" w:ascii="仿宋_GB2312" w:hAnsi="仿宋_GB2312" w:cs="仿宋_GB2312"/>
          <w:color w:val="auto"/>
          <w:kern w:val="2"/>
          <w:highlight w:val="none"/>
          <w:shd w:val="clear" w:color="auto" w:fill="auto"/>
          <w:lang w:bidi="ar-SA"/>
        </w:rPr>
        <w:t>征地补偿安置协议</w:t>
      </w:r>
      <w:r>
        <w:rPr>
          <w:rFonts w:hint="eastAsia" w:ascii="仿宋_GB2312" w:hAnsi="仿宋_GB2312" w:cs="仿宋_GB2312"/>
          <w:color w:val="auto"/>
          <w:kern w:val="2"/>
          <w:shd w:val="clear" w:color="auto" w:fill="auto"/>
          <w:lang w:eastAsia="zh-CN" w:bidi="ar-SA"/>
        </w:rPr>
        <w:t>。</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/亩的标准计提（即征地补偿安置方案制定时，我区每亩平均征收农用地综合区片地价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万元/亩乘以对应广州市第三级第五档计提比例</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kern w:val="2"/>
          <w:shd w:val="clear" w:color="auto" w:fill="auto"/>
          <w:lang w:val="en-US" w:eastAsia="zh-CN" w:bidi="ar-SA"/>
        </w:rPr>
        <w:t>0</w:t>
      </w:r>
      <w:r>
        <w:rPr>
          <w:rFonts w:hint="eastAsia" w:ascii="仿宋_GB2312" w:hAnsi="仿宋_GB2312" w:cs="仿宋_GB2312"/>
          <w:color w:val="auto"/>
          <w:kern w:val="2"/>
          <w:shd w:val="clear" w:color="auto" w:fill="auto"/>
          <w:lang w:bidi="ar-SA"/>
        </w:rPr>
        <w:t>亩属于农村集体经济组织留用地，按规定不计提征地社保费，需计提资金共</w:t>
      </w:r>
      <w:r>
        <w:rPr>
          <w:rFonts w:hint="eastAsia" w:ascii="仿宋_GB2312" w:hAnsi="仿宋_GB2312" w:cs="仿宋_GB2312"/>
          <w:color w:val="auto"/>
          <w:kern w:val="2"/>
          <w:shd w:val="clear" w:color="auto" w:fill="auto"/>
          <w:lang w:val="en-US" w:eastAsia="zh-CN" w:bidi="ar-SA"/>
        </w:rPr>
        <w:t>3.61</w:t>
      </w:r>
      <w:r>
        <w:rPr>
          <w:rFonts w:hint="eastAsia" w:ascii="仿宋_GB2312" w:hAnsi="仿宋_GB2312" w:cs="仿宋_GB2312"/>
          <w:color w:val="auto"/>
          <w:kern w:val="2"/>
          <w:shd w:val="clear" w:color="auto" w:fill="auto"/>
          <w:lang w:bidi="ar-SA"/>
        </w:rPr>
        <w:t>万元</w:t>
      </w:r>
      <w:r>
        <w:rPr>
          <w:rFonts w:hint="eastAsia" w:ascii="仿宋_GB2312" w:hAnsi="仿宋_GB2312" w:cs="仿宋_GB2312"/>
          <w:color w:val="auto"/>
          <w:kern w:val="2"/>
          <w:shd w:val="clear" w:color="auto" w:fill="auto"/>
          <w:lang w:bidi="ar-SA"/>
        </w:rPr>
        <w:t>由征地主体（用地单位）一次性预存入我区人力资源社会保障部门开设的“收缴被征地农民养老保障资金过渡户”，计入征地成本，纳入工程项目概算。</w:t>
      </w:r>
    </w:p>
    <w:p>
      <w:pPr>
        <w:numPr>
          <w:ilvl w:val="0"/>
          <w:numId w:val="0"/>
        </w:numPr>
        <w:ind w:firstLine="640" w:firstLineChars="200"/>
        <w:rPr>
          <w:rFonts w:hint="eastAsia" w:ascii="仿宋_GB2312" w:hAnsi="仿宋_GB2312" w:eastAsia="仿宋_GB2312" w:cs="仿宋_GB2312"/>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pPr>
        <w:numPr>
          <w:ilvl w:val="0"/>
          <w:numId w:val="0"/>
        </w:numPr>
        <w:ind w:firstLine="640" w:firstLineChars="200"/>
        <w:rPr>
          <w:rFonts w:hint="eastAsia" w:ascii="仿宋_GB2312" w:hAnsi="仿宋_GB2312" w:eastAsia="仿宋_GB2312" w:cs="仿宋_GB2312"/>
        </w:rPr>
      </w:pPr>
      <w:r>
        <w:rPr>
          <w:rFonts w:hint="eastAsia" w:ascii="仿宋_GB2312" w:hAnsi="仿宋_GB2312" w:eastAsia="仿宋_GB2312" w:cs="仿宋_GB2312"/>
        </w:rPr>
        <w:t>四、征地社保费发放。一是征地社保费与征地安置补偿费同期拨付。征地实施部门在拟发放征地安置补助费时，应告知同级人力资源社会保障部门和征地项目所在乡镇人民政府（街道办事处）。乡镇人民政府（街道办事处）牵头组织被征地农户在15个工作日内按时提供具体参保人员名单和分配金额。被征地农户未按时提供的，由乡镇人民政府（街道办事处）按被征地农户的16周岁以上人口平均分配资金原则确定参保人员名单和分配金额，送人社部门办理社保手续。二是符合条件的被征地农民按规定享受征地社保补贴，一次性划入其城乡居民养老保险个人账户，不计算实际缴费年限；其中已领取城镇职工基本养老金的，一次性支付个人。</w:t>
      </w:r>
    </w:p>
    <w:p>
      <w:pPr>
        <w:pStyle w:val="2"/>
        <w:ind w:left="0" w:leftChars="0" w:firstLine="0" w:firstLineChars="0"/>
        <w:rPr>
          <w:rFonts w:hint="eastAsia"/>
          <w:color w:val="auto"/>
          <w:sz w:val="32"/>
          <w:szCs w:val="32"/>
        </w:rPr>
      </w:pP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lang w:val="en-US" w:eastAsia="zh-CN"/>
        </w:rPr>
        <w:t>1.</w:t>
      </w:r>
      <w:r>
        <w:rPr>
          <w:rFonts w:hint="eastAsia" w:ascii="仿宋_GB2312" w:hAnsi="仿宋_GB2312" w:cs="仿宋_GB2312"/>
          <w:color w:val="auto"/>
          <w:sz w:val="32"/>
          <w:szCs w:val="32"/>
        </w:rPr>
        <w:t xml:space="preserve">征地土地和养老保障情况一览表 </w:t>
      </w:r>
      <w:r>
        <w:rPr>
          <w:rFonts w:hint="eastAsia" w:ascii="仿宋_GB2312" w:hAnsi="仿宋_GB2312" w:eastAsia="仿宋_GB2312" w:cs="仿宋_GB2312"/>
          <w:color w:val="auto"/>
          <w:sz w:val="32"/>
          <w:szCs w:val="32"/>
        </w:rPr>
        <w:t xml:space="preserve"> </w:t>
      </w:r>
    </w:p>
    <w:p>
      <w:pPr>
        <w:pStyle w:val="2"/>
        <w:ind w:firstLine="1600" w:firstLineChars="500"/>
        <w:rPr>
          <w:rFonts w:hint="eastAsia" w:eastAsia="仿宋_GB2312"/>
          <w:color w:val="auto"/>
          <w:sz w:val="32"/>
          <w:szCs w:val="32"/>
          <w:lang w:val="en-US" w:eastAsia="zh-CN"/>
        </w:rPr>
      </w:pPr>
      <w:r>
        <w:rPr>
          <w:rFonts w:ascii="仿宋_GB2312" w:hAnsi="仿宋_GB2312" w:cs="仿宋_GB2312"/>
          <w:color w:val="auto"/>
          <w:sz w:val="32"/>
          <w:szCs w:val="32"/>
        </w:rPr>
        <w:t>2</w:t>
      </w:r>
      <w:r>
        <w:rPr>
          <w:rFonts w:hint="eastAsia" w:ascii="仿宋_GB2312" w:hAnsi="仿宋_GB2312" w:cs="仿宋_GB2312"/>
          <w:color w:val="auto"/>
          <w:sz w:val="32"/>
          <w:szCs w:val="32"/>
          <w:lang w:val="en-US" w:eastAsia="zh-CN"/>
        </w:rPr>
        <w:t>.</w:t>
      </w:r>
      <w:r>
        <w:rPr>
          <w:rFonts w:ascii="仿宋_GB2312" w:hAnsi="仿宋_GB2312" w:cs="仿宋_GB2312"/>
          <w:color w:val="auto"/>
          <w:sz w:val="32"/>
          <w:szCs w:val="32"/>
        </w:rPr>
        <w:t>村情况证明</w:t>
      </w:r>
    </w:p>
    <w:p>
      <w:pPr>
        <w:pStyle w:val="2"/>
        <w:ind w:left="0" w:leftChars="0" w:firstLine="0" w:firstLineChars="0"/>
        <w:rPr>
          <w:rFonts w:hint="eastAsia"/>
          <w:color w:val="auto"/>
          <w:sz w:val="32"/>
          <w:szCs w:val="32"/>
          <w:lang w:val="en-US" w:eastAsia="zh-CN"/>
        </w:rPr>
      </w:pPr>
    </w:p>
    <w:p>
      <w:pPr>
        <w:rPr>
          <w:rFonts w:hint="eastAsia" w:ascii="仿宋_GB2312" w:hAnsi="仿宋_GB2312" w:eastAsia="仿宋_GB2312" w:cs="仿宋_GB2312"/>
          <w:color w:val="auto"/>
          <w:sz w:val="32"/>
          <w:szCs w:val="32"/>
          <w:lang w:val="en-US" w:eastAsia="zh-CN"/>
        </w:rPr>
      </w:pPr>
    </w:p>
    <w:p>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2022</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12</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21</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附</w:t>
      </w:r>
      <w:r>
        <w:rPr>
          <w:rFonts w:hint="eastAsia" w:ascii="黑体" w:hAnsi="黑体" w:eastAsia="黑体" w:cs="黑体"/>
          <w:b w:val="0"/>
          <w:bCs w:val="0"/>
          <w:sz w:val="32"/>
          <w:szCs w:val="32"/>
          <w:lang w:eastAsia="zh-CN"/>
        </w:rPr>
        <w:t>件</w:t>
      </w:r>
      <w:r>
        <w:rPr>
          <w:rFonts w:hint="eastAsia" w:ascii="黑体" w:hAnsi="黑体" w:eastAsia="黑体" w:cs="黑体"/>
          <w:b w:val="0"/>
          <w:bCs w:val="0"/>
          <w:sz w:val="32"/>
          <w:szCs w:val="32"/>
          <w:lang w:val="en-US" w:eastAsia="zh-CN"/>
        </w:rPr>
        <w:t>1</w:t>
      </w:r>
    </w:p>
    <w:p>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pPr>
        <w:spacing w:line="600" w:lineRule="exact"/>
        <w:ind w:right="770"/>
        <w:jc w:val="right"/>
        <w:rPr>
          <w:rFonts w:ascii="仿宋_GB2312"/>
          <w:sz w:val="28"/>
          <w:szCs w:val="28"/>
        </w:rPr>
      </w:pPr>
      <w:r>
        <w:rPr>
          <w:rFonts w:hint="eastAsia" w:ascii="仿宋_GB2312"/>
          <w:sz w:val="28"/>
          <w:szCs w:val="28"/>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ascii="仿宋_GB2312" w:hAnsi="仿宋_GB2312" w:cs="仿宋_GB2312"/>
                <w:kern w:val="0"/>
                <w:sz w:val="24"/>
                <w:szCs w:val="24"/>
                <w:lang w:eastAsia="zh-CN"/>
              </w:rPr>
              <w:t>炭步镇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ascii="仿宋_GB2312" w:hAnsi="仿宋_GB2312" w:cs="仿宋_GB2312"/>
                <w:kern w:val="0"/>
                <w:sz w:val="24"/>
                <w:szCs w:val="24"/>
                <w:lang w:eastAsia="zh-CN"/>
              </w:rPr>
              <w:t>茶塘村横湖经济合作社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仿宋_GB2312" w:hAnsi="仿宋_GB2312" w:cs="仿宋_GB2312"/>
                <w:kern w:val="0"/>
                <w:sz w:val="24"/>
                <w:szCs w:val="24"/>
                <w:lang w:val="en-US" w:eastAsia="zh-CN"/>
              </w:rPr>
            </w:pPr>
            <w:r>
              <w:rPr>
                <w:rFonts w:hint="eastAsia" w:ascii="仿宋_GB2312" w:hAnsi="仿宋_GB2312" w:cs="仿宋_GB2312"/>
                <w:kern w:val="0"/>
                <w:sz w:val="24"/>
                <w:szCs w:val="24"/>
                <w:lang w:val="en-US" w:eastAsia="zh-CN"/>
              </w:rPr>
              <w:t>1.6110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eastAsia" w:ascii="仿宋_GB2312" w:hAnsi="仿宋_GB2312" w:cs="仿宋_GB2312"/>
                <w:kern w:val="0"/>
                <w:sz w:val="24"/>
                <w:szCs w:val="24"/>
                <w:lang w:val="en-US" w:eastAsia="zh-CN"/>
              </w:rPr>
            </w:pPr>
            <w:r>
              <w:rPr>
                <w:rFonts w:hint="eastAsia" w:ascii="仿宋_GB2312" w:hAnsi="仿宋_GB2312" w:cs="仿宋_GB2312"/>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仿宋_GB2312" w:hAnsi="仿宋_GB2312" w:cs="仿宋_GB2312"/>
                <w:kern w:val="0"/>
                <w:sz w:val="24"/>
                <w:szCs w:val="24"/>
                <w:lang w:val="en-US" w:eastAsia="zh-CN"/>
              </w:rPr>
            </w:pPr>
            <w:r>
              <w:rPr>
                <w:rFonts w:hint="eastAsia" w:ascii="仿宋_GB2312" w:hAnsi="仿宋_GB2312" w:cs="仿宋_GB2312"/>
                <w:kern w:val="0"/>
                <w:sz w:val="24"/>
                <w:szCs w:val="24"/>
                <w:lang w:val="en-US" w:eastAsia="zh-CN"/>
              </w:rPr>
              <w:t>3.45</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ascii="仿宋_GB2312" w:hAnsi="仿宋_GB2312" w:cs="仿宋_GB2312"/>
                <w:kern w:val="0"/>
                <w:sz w:val="24"/>
                <w:szCs w:val="24"/>
                <w:lang w:eastAsia="zh-CN"/>
              </w:rPr>
              <w:t>炭步镇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ascii="仿宋_GB2312" w:hAnsi="仿宋_GB2312" w:cs="仿宋_GB2312"/>
                <w:kern w:val="0"/>
                <w:sz w:val="24"/>
                <w:szCs w:val="24"/>
                <w:lang w:eastAsia="zh-CN"/>
              </w:rPr>
              <w:t>㘵溪村第七经济合作社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仿宋_GB2312" w:hAnsi="仿宋_GB2312" w:cs="仿宋_GB2312"/>
                <w:kern w:val="0"/>
                <w:sz w:val="24"/>
                <w:szCs w:val="24"/>
                <w:lang w:val="en-US" w:eastAsia="zh-CN"/>
              </w:rPr>
            </w:pPr>
            <w:r>
              <w:rPr>
                <w:rFonts w:hint="eastAsia" w:ascii="仿宋_GB2312" w:hAnsi="仿宋_GB2312" w:cs="仿宋_GB2312"/>
                <w:kern w:val="0"/>
                <w:sz w:val="24"/>
                <w:szCs w:val="24"/>
                <w:lang w:val="en-US" w:eastAsia="zh-CN"/>
              </w:rPr>
              <w:t>0.0420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eastAsia" w:ascii="仿宋_GB2312" w:hAnsi="仿宋_GB2312" w:cs="仿宋_GB2312"/>
                <w:kern w:val="0"/>
                <w:sz w:val="24"/>
                <w:szCs w:val="24"/>
                <w:lang w:val="en-US" w:eastAsia="zh-CN"/>
              </w:rPr>
            </w:pPr>
            <w:r>
              <w:rPr>
                <w:rFonts w:hint="eastAsia" w:ascii="仿宋_GB2312" w:hAnsi="仿宋_GB2312" w:cs="仿宋_GB2312"/>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仿宋_GB2312" w:hAnsi="仿宋_GB2312" w:cs="仿宋_GB2312"/>
                <w:kern w:val="0"/>
                <w:sz w:val="24"/>
                <w:szCs w:val="24"/>
                <w:lang w:val="en-US" w:eastAsia="zh-CN"/>
              </w:rPr>
            </w:pPr>
            <w:r>
              <w:rPr>
                <w:rFonts w:hint="eastAsia" w:ascii="仿宋_GB2312" w:hAnsi="仿宋_GB2312" w:cs="仿宋_GB2312"/>
                <w:kern w:val="0"/>
                <w:sz w:val="24"/>
                <w:szCs w:val="24"/>
                <w:lang w:val="en-US" w:eastAsia="zh-CN"/>
              </w:rPr>
              <w:t>0.09</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ascii="仿宋_GB2312" w:hAnsi="仿宋_GB2312" w:cs="仿宋_GB2312"/>
                <w:kern w:val="0"/>
                <w:sz w:val="24"/>
                <w:szCs w:val="24"/>
                <w:lang w:eastAsia="zh-CN"/>
              </w:rPr>
              <w:t>炭步镇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ascii="仿宋_GB2312" w:hAnsi="仿宋_GB2312" w:cs="仿宋_GB2312"/>
                <w:kern w:val="0"/>
                <w:sz w:val="24"/>
                <w:szCs w:val="24"/>
                <w:lang w:eastAsia="zh-CN"/>
              </w:rPr>
              <w:t>环山村第二经济</w:t>
            </w:r>
            <w:bookmarkStart w:id="0" w:name="_GoBack"/>
            <w:bookmarkEnd w:id="0"/>
            <w:r>
              <w:rPr>
                <w:rFonts w:hint="eastAsia" w:ascii="仿宋_GB2312" w:hAnsi="仿宋_GB2312" w:cs="仿宋_GB2312"/>
                <w:kern w:val="0"/>
                <w:sz w:val="24"/>
                <w:szCs w:val="24"/>
                <w:lang w:eastAsia="zh-CN"/>
              </w:rPr>
              <w:t>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仿宋_GB2312" w:hAnsi="仿宋_GB2312" w:cs="仿宋_GB2312"/>
                <w:kern w:val="0"/>
                <w:sz w:val="24"/>
                <w:szCs w:val="24"/>
                <w:lang w:val="en-US" w:eastAsia="zh-CN"/>
              </w:rPr>
            </w:pPr>
            <w:r>
              <w:rPr>
                <w:rFonts w:hint="eastAsia" w:ascii="仿宋_GB2312" w:hAnsi="仿宋_GB2312" w:cs="仿宋_GB2312"/>
                <w:kern w:val="0"/>
                <w:sz w:val="24"/>
                <w:szCs w:val="24"/>
                <w:lang w:val="en-US" w:eastAsia="zh-CN"/>
              </w:rPr>
              <w:t>0.0285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eastAsia" w:ascii="仿宋_GB2312" w:hAnsi="仿宋_GB2312" w:cs="仿宋_GB2312"/>
                <w:kern w:val="0"/>
                <w:sz w:val="24"/>
                <w:szCs w:val="24"/>
                <w:lang w:val="en-US" w:eastAsia="zh-CN"/>
              </w:rPr>
            </w:pPr>
            <w:r>
              <w:rPr>
                <w:rFonts w:hint="eastAsia" w:ascii="仿宋_GB2312" w:hAnsi="仿宋_GB2312" w:cs="仿宋_GB2312"/>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仿宋_GB2312" w:hAnsi="仿宋_GB2312" w:cs="仿宋_GB2312"/>
                <w:kern w:val="0"/>
                <w:sz w:val="24"/>
                <w:szCs w:val="24"/>
                <w:lang w:val="en-US" w:eastAsia="zh-CN"/>
              </w:rPr>
            </w:pPr>
            <w:r>
              <w:rPr>
                <w:rFonts w:hint="eastAsia" w:ascii="仿宋_GB2312" w:hAnsi="仿宋_GB2312" w:cs="仿宋_GB2312"/>
                <w:kern w:val="0"/>
                <w:sz w:val="24"/>
                <w:szCs w:val="24"/>
                <w:lang w:val="en-US" w:eastAsia="zh-CN"/>
              </w:rPr>
              <w:t>0.07</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仿宋_GB2312" w:hAnsi="仿宋_GB2312" w:eastAsia="仿宋_GB2312" w:cs="仿宋_GB2312"/>
                <w:kern w:val="0"/>
                <w:sz w:val="24"/>
                <w:szCs w:val="24"/>
                <w:lang w:val="en-US" w:eastAsia="zh-CN" w:bidi="ar-SA"/>
              </w:rPr>
            </w:pPr>
            <w:r>
              <w:rPr>
                <w:rFonts w:hint="eastAsia" w:ascii="仿宋_GB2312" w:hAnsi="仿宋_GB2312" w:cs="仿宋_GB2312"/>
                <w:kern w:val="0"/>
                <w:sz w:val="24"/>
                <w:szCs w:val="24"/>
                <w:lang w:val="en-US" w:eastAsia="zh-CN" w:bidi="ar-SA"/>
              </w:rPr>
              <w:t>1.6815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eastAsia" w:ascii="仿宋_GB2312" w:hAnsi="仿宋_GB2312" w:eastAsia="仿宋_GB2312" w:cs="仿宋_GB2312"/>
                <w:kern w:val="0"/>
                <w:sz w:val="24"/>
                <w:szCs w:val="24"/>
                <w:lang w:val="en-US" w:eastAsia="zh-CN" w:bidi="ar-SA"/>
              </w:rPr>
            </w:pPr>
            <w:r>
              <w:rPr>
                <w:rFonts w:hint="eastAsia" w:ascii="仿宋_GB2312" w:hAnsi="仿宋_GB2312" w:cs="仿宋_GB2312"/>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仿宋_GB2312" w:hAnsi="仿宋_GB2312" w:cs="仿宋_GB2312"/>
                <w:kern w:val="0"/>
                <w:sz w:val="24"/>
                <w:szCs w:val="24"/>
                <w:lang w:val="en-US" w:eastAsia="zh-CN"/>
              </w:rPr>
            </w:pPr>
            <w:r>
              <w:rPr>
                <w:rFonts w:hint="eastAsia" w:ascii="仿宋_GB2312" w:hAnsi="仿宋_GB2312" w:cs="仿宋_GB2312"/>
                <w:kern w:val="0"/>
                <w:sz w:val="24"/>
                <w:szCs w:val="24"/>
                <w:lang w:val="en-US" w:eastAsia="zh-CN"/>
              </w:rPr>
              <w:t>3.61</w:t>
            </w:r>
          </w:p>
        </w:tc>
      </w:tr>
    </w:tbl>
    <w:p>
      <w:pPr>
        <w:spacing w:line="320" w:lineRule="exact"/>
        <w:ind w:right="210"/>
        <w:jc w:val="left"/>
        <w:rPr>
          <w:sz w:val="24"/>
          <w:szCs w:val="28"/>
        </w:rPr>
      </w:pPr>
      <w:r>
        <w:rPr>
          <w:rFonts w:hint="eastAsia"/>
          <w:sz w:val="24"/>
          <w:szCs w:val="28"/>
        </w:rPr>
        <w:t>说明：</w:t>
      </w:r>
    </w:p>
    <w:p>
      <w:pPr>
        <w:spacing w:line="320" w:lineRule="exact"/>
        <w:ind w:right="210"/>
        <w:jc w:val="left"/>
        <w:rPr>
          <w:rFonts w:hint="eastAsia"/>
          <w:sz w:val="24"/>
          <w:szCs w:val="28"/>
        </w:rPr>
      </w:pPr>
      <w:r>
        <w:rPr>
          <w:rFonts w:hint="eastAsia"/>
          <w:sz w:val="24"/>
          <w:szCs w:val="28"/>
        </w:rPr>
        <w:t>1、</w:t>
      </w:r>
      <w:r>
        <w:rPr>
          <w:sz w:val="24"/>
          <w:szCs w:val="28"/>
        </w:rPr>
        <w:t>征地社保费计提标准</w:t>
      </w:r>
      <w:r>
        <w:rPr>
          <w:rFonts w:hint="eastAsia"/>
          <w:sz w:val="24"/>
          <w:szCs w:val="28"/>
          <w:lang w:val="en-US" w:eastAsia="zh-CN"/>
        </w:rPr>
        <w:t>2.14</w:t>
      </w:r>
      <w:r>
        <w:rPr>
          <w:sz w:val="24"/>
          <w:szCs w:val="28"/>
        </w:rPr>
        <w:t>万元</w:t>
      </w:r>
      <w:r>
        <w:rPr>
          <w:rFonts w:hint="eastAsia"/>
          <w:sz w:val="24"/>
          <w:szCs w:val="28"/>
        </w:rPr>
        <w:t>/亩，征地社保费计算结果向上取整，精确到百元。</w:t>
      </w:r>
    </w:p>
    <w:p>
      <w:pPr>
        <w:spacing w:line="320" w:lineRule="exact"/>
        <w:ind w:right="210"/>
        <w:jc w:val="left"/>
        <w:rPr>
          <w:sz w:val="24"/>
          <w:szCs w:val="28"/>
        </w:rPr>
      </w:pPr>
      <w:r>
        <w:rPr>
          <w:sz w:val="24"/>
          <w:szCs w:val="28"/>
        </w:rPr>
        <w:t>2、被征收土地属于农村集体经济组织留用地的，不计提征地社保费。</w:t>
      </w:r>
    </w:p>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464AE7"/>
    <w:rsid w:val="08EC2A03"/>
    <w:rsid w:val="0C1E49CC"/>
    <w:rsid w:val="0CE91961"/>
    <w:rsid w:val="12341E88"/>
    <w:rsid w:val="13714D70"/>
    <w:rsid w:val="15CE692B"/>
    <w:rsid w:val="19E21F71"/>
    <w:rsid w:val="20B67655"/>
    <w:rsid w:val="211F0DDA"/>
    <w:rsid w:val="23141564"/>
    <w:rsid w:val="28702BCD"/>
    <w:rsid w:val="2B972895"/>
    <w:rsid w:val="2DAF2E8F"/>
    <w:rsid w:val="35F746F3"/>
    <w:rsid w:val="36EF346B"/>
    <w:rsid w:val="383071EA"/>
    <w:rsid w:val="39751ECE"/>
    <w:rsid w:val="3A9535F9"/>
    <w:rsid w:val="3CFF5EF7"/>
    <w:rsid w:val="3E3629B5"/>
    <w:rsid w:val="3EA022D5"/>
    <w:rsid w:val="3F6655A0"/>
    <w:rsid w:val="401160FF"/>
    <w:rsid w:val="40736F4A"/>
    <w:rsid w:val="42A07318"/>
    <w:rsid w:val="450C1F37"/>
    <w:rsid w:val="4A8B480A"/>
    <w:rsid w:val="4C363821"/>
    <w:rsid w:val="56293227"/>
    <w:rsid w:val="57B071EF"/>
    <w:rsid w:val="5D7072F6"/>
    <w:rsid w:val="614340C8"/>
    <w:rsid w:val="64374311"/>
    <w:rsid w:val="65A9621A"/>
    <w:rsid w:val="66177D25"/>
    <w:rsid w:val="72270D40"/>
    <w:rsid w:val="7451241A"/>
    <w:rsid w:val="748706FC"/>
    <w:rsid w:val="79A963F5"/>
    <w:rsid w:val="7A301722"/>
    <w:rsid w:val="7A4A27FD"/>
    <w:rsid w:val="7C1546B9"/>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toc 4"/>
    <w:basedOn w:val="1"/>
    <w:next w:val="1"/>
    <w:qFormat/>
    <w:uiPriority w:val="0"/>
    <w:pPr>
      <w:wordWrap w:val="0"/>
      <w:ind w:left="850"/>
      <w:jc w:val="both"/>
    </w:pPr>
    <w:rPr>
      <w:rFonts w:ascii="Calibri" w:hAnsi="Calibri" w:eastAsia="宋体" w:cs="黑体"/>
      <w:sz w:val="21"/>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user</cp:lastModifiedBy>
  <cp:lastPrinted>2022-01-04T07:55:00Z</cp:lastPrinted>
  <dcterms:modified xsi:type="dcterms:W3CDTF">2022-12-21T01:30:08Z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0C0DE489E8B24C16B5CA190443C1F12E</vt:lpwstr>
  </property>
</Properties>
</file>