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粤府土审（02）〔20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eastAsia="仿宋_GB2312"/>
          <w:color w:val="000000"/>
          <w:sz w:val="32"/>
          <w:szCs w:val="32"/>
        </w:rPr>
        <w:t>〕</w:t>
      </w:r>
      <w:del w:id="0" w:author="唐定坚" w:date="2022-10-09T14:52:56Z">
        <w:r>
          <w:rPr>
            <w:rFonts w:hint="default" w:eastAsia="仿宋_GB2312"/>
            <w:color w:val="000000"/>
            <w:sz w:val="32"/>
            <w:szCs w:val="32"/>
            <w:lang w:val="en-US" w:eastAsia="zh-CN"/>
          </w:rPr>
          <w:delText xml:space="preserve">  </w:delText>
        </w:r>
      </w:del>
      <w:ins w:id="1" w:author="唐定坚" w:date="2022-10-09T14:52:56Z">
        <w:r>
          <w:rPr>
            <w:rFonts w:hint="eastAsia" w:eastAsia="仿宋_GB2312"/>
            <w:color w:val="000000"/>
            <w:sz w:val="32"/>
            <w:szCs w:val="32"/>
            <w:lang w:val="en-US" w:eastAsia="zh-CN"/>
          </w:rPr>
          <w:t>153</w:t>
        </w:r>
      </w:ins>
      <w:r>
        <w:rPr>
          <w:rFonts w:hint="eastAsia" w:eastAsia="仿宋_GB2312"/>
          <w:color w:val="000000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</w:rPr>
        <w:t>广东省人民政府关于广州市南沙区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  <w:lang w:eastAsia="zh-CN"/>
        </w:rPr>
        <w:t>年度第五批次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</w:rPr>
        <w:t>城镇建设用地的批复</w:t>
      </w:r>
    </w:p>
    <w:p>
      <w:pPr>
        <w:widowControl/>
        <w:spacing w:line="600" w:lineRule="exact"/>
        <w:jc w:val="center"/>
        <w:textAlignment w:val="baseline"/>
        <w:rPr>
          <w:rFonts w:hint="eastAsia"/>
          <w:b/>
          <w:sz w:val="32"/>
          <w:szCs w:val="32"/>
        </w:rPr>
      </w:pPr>
    </w:p>
    <w:p>
      <w:pPr>
        <w:widowControl/>
        <w:spacing w:line="560" w:lineRule="exact"/>
        <w:jc w:val="left"/>
        <w:textAlignment w:val="baseline"/>
        <w:rPr>
          <w:rFonts w:hint="eastAsia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</w:rPr>
        <w:t>广州市人民政府：</w:t>
      </w:r>
    </w:p>
    <w:p>
      <w:pPr>
        <w:widowControl/>
        <w:numPr>
          <w:ilvl w:val="0"/>
          <w:numId w:val="0"/>
        </w:numPr>
        <w:spacing w:line="560" w:lineRule="exact"/>
        <w:ind w:firstLine="632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广州市规划和自然资源局关于审批广州市南沙区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 w:eastAsia="zh-CN"/>
        </w:rPr>
        <w:t>202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 w:eastAsia="zh-CN"/>
        </w:rPr>
        <w:t>年度第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zh-CN" w:eastAsia="zh-CN"/>
        </w:rPr>
        <w:t>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 w:eastAsia="zh-CN"/>
        </w:rPr>
        <w:t>批次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城镇建设用地的请示》（穗规划资源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 w:eastAsia="zh-CN"/>
        </w:rPr>
        <w:t>（用地）南报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〔202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号）及相关材料已通过审核。根据《中华人民共和国土地管理法》第四十四、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 w:eastAsia="zh-CN"/>
        </w:rPr>
        <w:t>四十五、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四十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条的有关规定，批复如下：</w:t>
      </w:r>
    </w:p>
    <w:p>
      <w:pPr>
        <w:widowControl/>
        <w:numPr>
          <w:ilvl w:val="0"/>
          <w:numId w:val="1"/>
        </w:numPr>
        <w:spacing w:line="560" w:lineRule="exact"/>
        <w:ind w:firstLine="632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</w:pPr>
      <w:r>
        <w:rPr>
          <w:rFonts w:eastAsia="仿宋_GB2312"/>
          <w:color w:val="000000"/>
          <w:sz w:val="32"/>
          <w:szCs w:val="32"/>
        </w:rPr>
        <w:t>同意上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报的农用地转用方案和征收土地方案。同意你市将</w:t>
      </w:r>
      <w:r>
        <w:rPr>
          <w:rFonts w:hint="eastAsia" w:ascii="仿宋_GB2312" w:hAnsi="仿宋_GB2312" w:eastAsia="仿宋_GB2312" w:cs="仿宋_GB2312"/>
          <w:sz w:val="32"/>
        </w:rPr>
        <w:t>东涌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eastAsia="仿宋_GB2312" w:cs="仿宋_GB2312"/>
          <w:sz w:val="32"/>
          <w:szCs w:val="32"/>
        </w:rPr>
        <w:t>三沙村股份合作经济社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属下的集体</w:t>
      </w:r>
      <w:r>
        <w:rPr>
          <w:rFonts w:eastAsia="仿宋_GB2312"/>
          <w:sz w:val="32"/>
          <w:szCs w:val="32"/>
        </w:rPr>
        <w:t>农用地</w:t>
      </w:r>
      <w:r>
        <w:rPr>
          <w:rFonts w:hint="eastAsia" w:eastAsia="仿宋_GB2312"/>
          <w:sz w:val="32"/>
          <w:szCs w:val="32"/>
        </w:rPr>
        <w:t>0.0009</w:t>
      </w:r>
      <w:r>
        <w:rPr>
          <w:rFonts w:eastAsia="仿宋_GB2312"/>
          <w:sz w:val="32"/>
          <w:szCs w:val="32"/>
        </w:rPr>
        <w:t>公顷（耕地</w:t>
      </w:r>
      <w:r>
        <w:rPr>
          <w:rFonts w:hint="eastAsia" w:eastAsia="仿宋_GB2312"/>
          <w:sz w:val="32"/>
          <w:szCs w:val="32"/>
        </w:rPr>
        <w:t>0.0007</w:t>
      </w:r>
      <w:r>
        <w:rPr>
          <w:rFonts w:eastAsia="仿宋_GB2312"/>
          <w:sz w:val="32"/>
          <w:szCs w:val="32"/>
        </w:rPr>
        <w:t>公顷、其他农用地</w:t>
      </w:r>
      <w:r>
        <w:rPr>
          <w:rFonts w:hint="eastAsia" w:eastAsia="仿宋_GB2312"/>
          <w:sz w:val="32"/>
          <w:szCs w:val="32"/>
        </w:rPr>
        <w:t>0.0002</w:t>
      </w:r>
      <w:r>
        <w:rPr>
          <w:rFonts w:eastAsia="仿宋_GB2312"/>
          <w:sz w:val="32"/>
          <w:szCs w:val="32"/>
        </w:rPr>
        <w:t>公顷）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转为建设用地</w:t>
      </w:r>
      <w:r>
        <w:rPr>
          <w:rFonts w:eastAsia="仿宋_GB2312"/>
          <w:color w:val="000000"/>
          <w:sz w:val="32"/>
          <w:szCs w:val="32"/>
        </w:rPr>
        <w:t>，同时使用上述村集体建设用地</w:t>
      </w:r>
      <w:r>
        <w:rPr>
          <w:rFonts w:hint="eastAsia" w:eastAsia="仿宋_GB2312"/>
          <w:sz w:val="32"/>
          <w:szCs w:val="32"/>
        </w:rPr>
        <w:t>0.3069</w:t>
      </w:r>
      <w:r>
        <w:rPr>
          <w:rFonts w:eastAsia="仿宋_GB2312"/>
          <w:color w:val="000000"/>
          <w:sz w:val="32"/>
          <w:szCs w:val="32"/>
        </w:rPr>
        <w:t>公顷，以上合计</w:t>
      </w:r>
      <w:r>
        <w:rPr>
          <w:rFonts w:hint="eastAsia" w:eastAsia="仿宋_GB2312"/>
          <w:sz w:val="32"/>
          <w:szCs w:val="32"/>
        </w:rPr>
        <w:t>0.3078</w:t>
      </w:r>
      <w:r>
        <w:rPr>
          <w:rFonts w:eastAsia="仿宋_GB2312"/>
          <w:color w:val="000000"/>
          <w:sz w:val="32"/>
          <w:szCs w:val="32"/>
        </w:rPr>
        <w:t>公顷集体土地一并办理征收为国有土地手续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上述土地（合计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0.3078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公顷）经完善征收手续后依照规划安排作为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广州市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 w:eastAsia="zh-CN"/>
        </w:rPr>
        <w:t>南沙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城镇建设用地。</w:t>
      </w:r>
    </w:p>
    <w:p>
      <w:pPr>
        <w:widowControl/>
        <w:numPr>
          <w:ilvl w:val="0"/>
          <w:numId w:val="0"/>
        </w:numPr>
        <w:spacing w:line="560" w:lineRule="exact"/>
        <w:ind w:firstLine="632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</w:pPr>
      <w:r>
        <w:rPr>
          <w:rFonts w:hint="eastAsia" w:eastAsia="仿宋_GB2312"/>
          <w:sz w:val="32"/>
          <w:szCs w:val="32"/>
          <w:lang w:eastAsia="zh-CN"/>
        </w:rPr>
        <w:t>二、</w:t>
      </w:r>
      <w:r>
        <w:rPr>
          <w:rFonts w:hint="eastAsia" w:eastAsia="仿宋_GB2312"/>
          <w:sz w:val="32"/>
          <w:szCs w:val="32"/>
        </w:rPr>
        <w:t>同意上报的补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充耕地方案。对应核销耕地数量、水田规模和标准粮食产能指标（确认信息编号：440000202205618443），已落实占补平衡。</w:t>
      </w:r>
    </w:p>
    <w:p>
      <w:pPr>
        <w:pStyle w:val="2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</w:p>
    <w:p>
      <w:pPr>
        <w:widowControl/>
        <w:numPr>
          <w:ilvl w:val="0"/>
          <w:numId w:val="0"/>
        </w:numPr>
        <w:spacing w:line="560" w:lineRule="exact"/>
        <w:ind w:firstLine="632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</w:pP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zh-CN" w:eastAsia="zh-CN"/>
        </w:rPr>
        <w:t>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、该批次用地在土地利用总体规划中安排为城乡建设用地，供地时土地用途应与土地利用总体规划中的规划安排相符；同时，供地方式、供地规模、供地标准等应严格按照国家和省的有关规定执行，切实做到节约集约用地。</w:t>
      </w:r>
    </w:p>
    <w:p>
      <w:pPr>
        <w:widowControl/>
        <w:numPr>
          <w:ilvl w:val="0"/>
          <w:numId w:val="0"/>
        </w:numPr>
        <w:spacing w:line="560" w:lineRule="exact"/>
        <w:ind w:firstLine="632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</w:pP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zh-CN" w:eastAsia="zh-CN"/>
        </w:rPr>
        <w:t>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、请你市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 w:eastAsia="zh-CN"/>
        </w:rPr>
        <w:t>人民政府督促相关区县按规定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发布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 w:eastAsia="zh-CN"/>
        </w:rPr>
        <w:t>征收土地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公告，依法组织实施征地，切实保障被征地群众生活出路。征地补偿安置不落实的，不得强行使用被征土地。</w:t>
      </w:r>
    </w:p>
    <w:p>
      <w:pPr>
        <w:widowControl/>
        <w:numPr>
          <w:ilvl w:val="0"/>
          <w:numId w:val="0"/>
        </w:numPr>
        <w:spacing w:line="560" w:lineRule="exact"/>
        <w:ind w:firstLine="632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</w:pP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zh-CN" w:eastAsia="zh-CN"/>
        </w:rPr>
        <w:t>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、使用土地涉及有关税费的收缴或调整，请按有关规定办理。</w:t>
      </w:r>
    </w:p>
    <w:p>
      <w:pPr>
        <w:widowControl/>
        <w:numPr>
          <w:ilvl w:val="0"/>
          <w:numId w:val="0"/>
        </w:numPr>
        <w:spacing w:line="560" w:lineRule="exact"/>
        <w:ind w:firstLine="632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</w:pP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zh-CN" w:eastAsia="zh-CN"/>
        </w:rPr>
        <w:t>六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、征地批后实施情况和具体项目供地情况须按规定报备。</w:t>
      </w:r>
    </w:p>
    <w:p>
      <w:pPr>
        <w:widowControl/>
        <w:numPr>
          <w:ilvl w:val="0"/>
          <w:numId w:val="0"/>
        </w:numPr>
        <w:spacing w:line="560" w:lineRule="exact"/>
        <w:ind w:firstLine="632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</w:pPr>
    </w:p>
    <w:p>
      <w:pPr>
        <w:widowControl/>
        <w:numPr>
          <w:ilvl w:val="0"/>
          <w:numId w:val="0"/>
        </w:numPr>
        <w:spacing w:line="560" w:lineRule="exact"/>
        <w:ind w:firstLine="632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</w:pPr>
    </w:p>
    <w:p>
      <w:pPr>
        <w:widowControl/>
        <w:numPr>
          <w:ilvl w:val="0"/>
          <w:numId w:val="0"/>
        </w:numPr>
        <w:spacing w:line="560" w:lineRule="exact"/>
        <w:ind w:firstLine="632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 xml:space="preserve">                               广东省人民政府</w:t>
      </w:r>
    </w:p>
    <w:p>
      <w:pPr>
        <w:widowControl/>
        <w:numPr>
          <w:ilvl w:val="0"/>
          <w:numId w:val="0"/>
        </w:numPr>
        <w:spacing w:line="560" w:lineRule="exact"/>
        <w:ind w:firstLine="632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 xml:space="preserve">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年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月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日</w:t>
      </w: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</w:pPr>
    </w:p>
    <w:p>
      <w:pPr>
        <w:pStyle w:val="2"/>
        <w:rPr>
          <w:rFonts w:hint="eastAsia"/>
          <w:lang w:val="zh-CN"/>
        </w:rPr>
      </w:pPr>
    </w:p>
    <w:p>
      <w:pPr>
        <w:widowControl/>
        <w:numPr>
          <w:ilvl w:val="0"/>
          <w:numId w:val="0"/>
        </w:numPr>
        <w:spacing w:line="560" w:lineRule="exact"/>
        <w:ind w:firstLine="632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</w:pPr>
    </w:p>
    <w:p>
      <w:pPr>
        <w:widowControl/>
        <w:numPr>
          <w:ilvl w:val="0"/>
          <w:numId w:val="0"/>
        </w:numPr>
        <w:spacing w:line="560" w:lineRule="exact"/>
        <w:ind w:firstLine="632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公开方式：主动公开</w:t>
      </w:r>
    </w:p>
    <w:p>
      <w:pPr>
        <w:widowControl/>
        <w:numPr>
          <w:ilvl w:val="0"/>
          <w:numId w:val="0"/>
        </w:numPr>
        <w:spacing w:line="560" w:lineRule="exact"/>
        <w:ind w:firstLine="632" w:firstLineChars="200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抄送：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国家自然资源督察广州局，财政部广东监管局，省财政厅、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 w:eastAsia="zh-CN"/>
        </w:rPr>
        <w:t>省人力资源和社会保障厅、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省自然资源厅、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 w:eastAsia="zh-CN"/>
        </w:rPr>
        <w:t>省农业农村厅、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国家税务总局广东省税务局，省林业局。</w:t>
      </w:r>
    </w:p>
    <w:p>
      <w:pPr>
        <w:widowControl/>
        <w:numPr>
          <w:ilvl w:val="0"/>
          <w:numId w:val="0"/>
        </w:numPr>
        <w:spacing w:line="560" w:lineRule="exact"/>
        <w:ind w:firstLine="5688" w:firstLineChars="1800"/>
        <w:textAlignment w:val="baseline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pPrChange w:id="2" w:author="唐定坚" w:date="2022-10-09T14:53:36Z">
          <w:pPr>
            <w:widowControl/>
            <w:numPr>
              <w:ilvl w:val="0"/>
              <w:numId w:val="0"/>
            </w:numPr>
            <w:spacing w:line="560" w:lineRule="exact"/>
            <w:ind w:firstLine="6004" w:firstLineChars="1900"/>
            <w:textAlignment w:val="baseline"/>
          </w:pPr>
        </w:pPrChange>
      </w:pPr>
      <w:del w:id="3" w:author="唐定坚" w:date="2022-10-09T14:53:22Z">
        <w:r>
          <w:rPr>
            <w:rFonts w:hint="default" w:ascii="Times New Roman" w:hAnsi="Times New Roman" w:eastAsia="仿宋_GB2312" w:cs="Times New Roman"/>
            <w:color w:val="000000"/>
            <w:sz w:val="32"/>
            <w:szCs w:val="32"/>
            <w:highlight w:val="none"/>
            <w:lang w:val="en-US"/>
          </w:rPr>
          <w:delText xml:space="preserve">  </w:delText>
        </w:r>
      </w:del>
      <w:ins w:id="4" w:author="唐定坚" w:date="2022-10-09T14:53:22Z">
        <w:r>
          <w:rPr>
            <w:rFonts w:hint="eastAsia" w:eastAsia="仿宋_GB2312" w:cs="Times New Roman"/>
            <w:color w:val="000000"/>
            <w:sz w:val="32"/>
            <w:szCs w:val="32"/>
            <w:highlight w:val="none"/>
            <w:lang w:val="en-US" w:eastAsia="zh-CN"/>
          </w:rPr>
          <w:t>2022</w:t>
        </w:r>
      </w:ins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年</w:t>
      </w:r>
      <w:del w:id="5" w:author="唐定坚" w:date="2022-10-09T14:53:25Z">
        <w:r>
          <w:rPr>
            <w:rFonts w:hint="default" w:ascii="Times New Roman" w:hAnsi="Times New Roman" w:eastAsia="仿宋_GB2312" w:cs="Times New Roman"/>
            <w:color w:val="000000"/>
            <w:sz w:val="32"/>
            <w:szCs w:val="32"/>
            <w:highlight w:val="none"/>
            <w:lang w:val="en-US"/>
          </w:rPr>
          <w:delText xml:space="preserve">  </w:delText>
        </w:r>
      </w:del>
      <w:ins w:id="6" w:author="唐定坚" w:date="2022-10-09T14:53:25Z">
        <w:r>
          <w:rPr>
            <w:rFonts w:hint="eastAsia" w:eastAsia="仿宋_GB2312" w:cs="Times New Roman"/>
            <w:color w:val="000000"/>
            <w:sz w:val="32"/>
            <w:szCs w:val="32"/>
            <w:highlight w:val="none"/>
            <w:lang w:val="en-US" w:eastAsia="zh-CN"/>
          </w:rPr>
          <w:t>1</w:t>
        </w:r>
      </w:ins>
      <w:ins w:id="7" w:author="唐定坚" w:date="2022-10-09T14:53:26Z">
        <w:r>
          <w:rPr>
            <w:rFonts w:hint="eastAsia" w:eastAsia="仿宋_GB2312" w:cs="Times New Roman"/>
            <w:color w:val="000000"/>
            <w:sz w:val="32"/>
            <w:szCs w:val="32"/>
            <w:highlight w:val="none"/>
            <w:lang w:val="en-US" w:eastAsia="zh-CN"/>
          </w:rPr>
          <w:t>0</w:t>
        </w:r>
      </w:ins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 xml:space="preserve">月 </w:t>
      </w:r>
      <w:del w:id="8" w:author="唐定坚" w:date="2022-10-09T14:53:45Z">
        <w:r>
          <w:rPr>
            <w:rFonts w:hint="default" w:ascii="Times New Roman" w:hAnsi="Times New Roman" w:eastAsia="仿宋_GB2312" w:cs="Times New Roman"/>
            <w:color w:val="000000"/>
            <w:sz w:val="32"/>
            <w:szCs w:val="32"/>
            <w:highlight w:val="none"/>
            <w:lang w:val="en-US"/>
          </w:rPr>
          <w:delText xml:space="preserve">  </w:delText>
        </w:r>
      </w:del>
      <w:ins w:id="9" w:author="唐定坚" w:date="2022-10-09T14:53:45Z">
        <w:r>
          <w:rPr>
            <w:rFonts w:hint="eastAsia" w:eastAsia="仿宋_GB2312" w:cs="Times New Roman"/>
            <w:color w:val="000000"/>
            <w:sz w:val="32"/>
            <w:szCs w:val="32"/>
            <w:highlight w:val="none"/>
            <w:lang w:val="en-US" w:eastAsia="zh-CN"/>
          </w:rPr>
          <w:t>9</w:t>
        </w:r>
      </w:ins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日印发</w:t>
      </w:r>
    </w:p>
    <w:p>
      <w:pPr>
        <w:widowControl/>
        <w:numPr>
          <w:ilvl w:val="0"/>
          <w:numId w:val="0"/>
        </w:numPr>
        <w:spacing w:line="560" w:lineRule="exact"/>
        <w:ind w:firstLine="632" w:firstLineChars="200"/>
        <w:textAlignment w:val="baseline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</w:pPr>
    </w:p>
    <w:sectPr>
      <w:footerReference r:id="rId3" w:type="default"/>
      <w:footerReference r:id="rId4" w:type="even"/>
      <w:pgSz w:w="11906" w:h="16838"/>
      <w:pgMar w:top="1814" w:right="1361" w:bottom="1474" w:left="1531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528BAA"/>
    <w:multiLevelType w:val="singleLevel"/>
    <w:tmpl w:val="AD528B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唐定坚">
    <w15:presenceInfo w15:providerId="None" w15:userId="唐定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revisionView w:markup="0"/>
  <w:trackRevisions w:val="1"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C1438"/>
    <w:rsid w:val="00B55FB9"/>
    <w:rsid w:val="067C1F70"/>
    <w:rsid w:val="15FD1AB8"/>
    <w:rsid w:val="3C7D370B"/>
    <w:rsid w:val="402D1402"/>
    <w:rsid w:val="434E4B93"/>
    <w:rsid w:val="53C327BB"/>
    <w:rsid w:val="66371C9D"/>
    <w:rsid w:val="67063421"/>
    <w:rsid w:val="726F4573"/>
    <w:rsid w:val="794C1438"/>
    <w:rsid w:val="79D2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sz w:val="4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2022-07-28T02:55:00Z</dcterms:created>
  <dc:creator>唐定坚</dc:creator>
  <cp:lastModifiedBy>唐定坚</cp:lastModifiedBy>
  <dcterms:modified xsi:type="dcterms:W3CDTF">2022-10-09T06:53:47Z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