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widowControl/>
        <w:shd w:val="clear" w:color="auto" w:fill="FFFFFF"/>
        <w:spacing w:line="580" w:lineRule="exact"/>
        <w:ind w:firstLine="615"/>
        <w:jc w:val="left"/>
        <w:rPr>
          <w:rFonts w:hint="eastAsia"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rPr>
        <w:t>关</w:t>
      </w:r>
      <w:r>
        <w:rPr>
          <w:rFonts w:hint="default" w:ascii="Times New Roman" w:hAnsi="Times New Roman" w:eastAsia="方正小标宋简体" w:cs="Times New Roman"/>
          <w:sz w:val="44"/>
          <w:szCs w:val="44"/>
          <w:highlight w:val="none"/>
        </w:rPr>
        <w:t>于</w:t>
      </w:r>
      <w:r>
        <w:rPr>
          <w:rFonts w:hint="eastAsia" w:eastAsia="方正小标宋简体" w:cs="Times New Roman"/>
          <w:sz w:val="44"/>
          <w:szCs w:val="44"/>
          <w:highlight w:val="none"/>
          <w:lang w:val="en-US" w:eastAsia="zh-CN"/>
        </w:rPr>
        <w:t>广州市花都区2022年度第五十批次城镇建设用地</w:t>
      </w:r>
      <w:r>
        <w:rPr>
          <w:rFonts w:hint="eastAsia" w:ascii="Times New Roman" w:hAnsi="Times New Roman" w:eastAsia="方正小标宋简体" w:cs="Times New Roman"/>
          <w:sz w:val="44"/>
          <w:szCs w:val="44"/>
          <w:highlight w:val="none"/>
          <w:lang w:val="en-US" w:eastAsia="zh-CN"/>
        </w:rPr>
        <w:t>（秀全水库东一地块一</w:t>
      </w:r>
      <w:r>
        <w:rPr>
          <w:rFonts w:hint="default" w:ascii="Times New Roman" w:hAnsi="Times New Roman" w:eastAsia="方正小标宋简体" w:cs="Times New Roman"/>
          <w:sz w:val="44"/>
          <w:szCs w:val="44"/>
          <w:highlight w:val="none"/>
          <w:lang w:val="en-US" w:eastAsia="zh-CN"/>
        </w:rPr>
        <w:t>〔</w:t>
      </w:r>
      <w:r>
        <w:rPr>
          <w:rFonts w:hint="eastAsia" w:ascii="Times New Roman" w:hAnsi="Times New Roman" w:eastAsia="方正小标宋简体" w:cs="Times New Roman"/>
          <w:sz w:val="44"/>
          <w:szCs w:val="44"/>
          <w:highlight w:val="none"/>
          <w:lang w:val="en-US" w:eastAsia="zh-CN"/>
        </w:rPr>
        <w:t>一期</w:t>
      </w:r>
      <w:r>
        <w:rPr>
          <w:rFonts w:hint="default" w:ascii="Times New Roman" w:hAnsi="Times New Roman" w:eastAsia="方正小标宋简体" w:cs="Times New Roman"/>
          <w:sz w:val="44"/>
          <w:szCs w:val="44"/>
          <w:highlight w:val="none"/>
          <w:lang w:val="en-US" w:eastAsia="zh-CN"/>
        </w:rPr>
        <w:t>〕</w:t>
      </w:r>
      <w:r>
        <w:rPr>
          <w:rFonts w:hint="eastAsia" w:ascii="Times New Roman" w:hAnsi="Times New Roman" w:eastAsia="方正小标宋简体" w:cs="Times New Roman"/>
          <w:sz w:val="44"/>
          <w:szCs w:val="4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highlight w:val="none"/>
        </w:rPr>
        <w:t>的</w:t>
      </w: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spacing w:beforeLines="0" w:afterLines="0" w:line="400" w:lineRule="atLeast"/>
        <w:ind w:left="230"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为实施广州市花都区花城街建设规划，完善城市功能，改善城市环境，促进经济、文化发展。我区拟征收广州市花都区</w:t>
      </w:r>
      <w:r>
        <w:rPr>
          <w:rFonts w:hint="eastAsia" w:ascii="Times New Roman" w:hAnsi="Times New Roman" w:eastAsia="仿宋_GB2312" w:cs="Times New Roman"/>
          <w:sz w:val="32"/>
          <w:lang w:val="zh-CN"/>
        </w:rPr>
        <w:t>花城街杨二村经济联合社、杨二村草弄经济合作社、杨二村存心经济合作社、杨二村大龙经济合作社、杨二村榕树经济合作社、杨二村泗合经济合作社、杨二村上头经济合作社、杨二村瓦窑经济合作社、杨二村新村经济合作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26.7151</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rPr>
        <w:t>根据《中华人民共和国土地管理法》第二条、第四十五条、第四十七条有关</w:t>
      </w:r>
      <w:r>
        <w:rPr>
          <w:rFonts w:hint="default" w:ascii="Times New Roman" w:hAnsi="Times New Roman" w:eastAsia="仿宋_GB2312" w:cs="Times New Roman"/>
          <w:sz w:val="32"/>
          <w:highlight w:val="none"/>
        </w:rPr>
        <w:t>规定精神、</w:t>
      </w:r>
      <w:r>
        <w:rPr>
          <w:rFonts w:hint="eastAsia" w:eastAsia="仿宋_GB2312" w:cs="Times New Roman"/>
          <w:sz w:val="32"/>
          <w:highlight w:val="none"/>
          <w:lang w:val="en-US" w:eastAsia="zh-CN"/>
        </w:rPr>
        <w:t>《广东省土地管理条例》第三十条等规定</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征收花城街杨二村集体土地总面积</w:t>
      </w:r>
      <w:r>
        <w:rPr>
          <w:rFonts w:hint="eastAsia" w:eastAsia="仿宋_GB2312" w:cs="Times New Roman"/>
          <w:sz w:val="32"/>
          <w:szCs w:val="32"/>
          <w:highlight w:val="none"/>
          <w:lang w:val="en-US" w:eastAsia="zh-CN"/>
        </w:rPr>
        <w:t>26.7151</w:t>
      </w:r>
      <w:r>
        <w:rPr>
          <w:rFonts w:hint="default" w:ascii="Times New Roman" w:hAnsi="Times New Roman" w:eastAsia="仿宋_GB2312" w:cs="Times New Roman"/>
          <w:sz w:val="32"/>
        </w:rPr>
        <w:t>公顷，</w:t>
      </w:r>
      <w:r>
        <w:rPr>
          <w:rFonts w:hint="eastAsia" w:eastAsia="仿宋_GB2312" w:cs="Times New Roman"/>
          <w:sz w:val="32"/>
          <w:lang w:eastAsia="zh-CN"/>
        </w:rPr>
        <w:t>其中农用地</w:t>
      </w:r>
      <w:r>
        <w:rPr>
          <w:rFonts w:hint="eastAsia" w:eastAsia="仿宋_GB2312" w:cs="Times New Roman"/>
          <w:sz w:val="32"/>
          <w:lang w:val="en-US" w:eastAsia="zh-CN"/>
        </w:rPr>
        <w:t>20.1678公顷（耕地10.9951公顷、园地8.3720公顷、草地0.0216公顷、其他农用地0.7791公顷）、</w:t>
      </w:r>
      <w:r>
        <w:rPr>
          <w:rFonts w:hint="default" w:ascii="Times New Roman" w:hAnsi="Times New Roman" w:eastAsia="仿宋_GB2312" w:cs="Times New Roman"/>
          <w:sz w:val="32"/>
        </w:rPr>
        <w:t>建设用地</w:t>
      </w:r>
      <w:r>
        <w:rPr>
          <w:rFonts w:hint="eastAsia" w:eastAsia="仿宋_GB2312" w:cs="Times New Roman"/>
          <w:sz w:val="32"/>
          <w:lang w:val="en-US" w:eastAsia="zh-CN"/>
        </w:rPr>
        <w:t>6.5473公顷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土地补偿费与安置补助费一览表（一）</w:t>
      </w:r>
    </w:p>
    <w:p>
      <w:pPr>
        <w:spacing w:line="62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（单位：公顷、万元/公顷、万元）</w:t>
      </w:r>
    </w:p>
    <w:tbl>
      <w:tblPr>
        <w:tblStyle w:val="8"/>
        <w:tblW w:w="951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533"/>
        <w:gridCol w:w="974"/>
        <w:gridCol w:w="1040"/>
        <w:gridCol w:w="946"/>
        <w:gridCol w:w="1160"/>
        <w:gridCol w:w="1027"/>
        <w:gridCol w:w="113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07"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040"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06"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160"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7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Merge w:val="continue"/>
            <w:vAlign w:val="center"/>
          </w:tcPr>
          <w:p>
            <w:pPr>
              <w:jc w:val="center"/>
              <w:rPr>
                <w:rFonts w:hint="default" w:ascii="Times New Roman" w:hAnsi="Times New Roman" w:eastAsia="仿宋_GB2312" w:cs="Times New Roman"/>
                <w:b/>
                <w:bCs/>
                <w:sz w:val="24"/>
              </w:rPr>
            </w:pPr>
          </w:p>
        </w:tc>
        <w:tc>
          <w:tcPr>
            <w:tcW w:w="1507" w:type="dxa"/>
            <w:gridSpan w:val="2"/>
            <w:vMerge w:val="continue"/>
            <w:vAlign w:val="center"/>
          </w:tcPr>
          <w:p>
            <w:pPr>
              <w:jc w:val="center"/>
              <w:rPr>
                <w:rFonts w:hint="default" w:ascii="Times New Roman" w:hAnsi="Times New Roman" w:eastAsia="仿宋_GB2312" w:cs="Times New Roman"/>
                <w:b/>
                <w:bCs/>
                <w:sz w:val="24"/>
              </w:rPr>
            </w:pPr>
          </w:p>
        </w:tc>
        <w:tc>
          <w:tcPr>
            <w:tcW w:w="1040" w:type="dxa"/>
            <w:vMerge w:val="continue"/>
            <w:vAlign w:val="center"/>
          </w:tcPr>
          <w:p>
            <w:pPr>
              <w:jc w:val="center"/>
              <w:rPr>
                <w:rFonts w:hint="default" w:ascii="Times New Roman" w:hAnsi="Times New Roman" w:eastAsia="仿宋_GB2312" w:cs="Times New Roman"/>
                <w:b/>
                <w:bCs/>
                <w:sz w:val="24"/>
              </w:rPr>
            </w:pPr>
          </w:p>
        </w:tc>
        <w:tc>
          <w:tcPr>
            <w:tcW w:w="946"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0"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027"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3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7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27" w:type="dxa"/>
            <w:vMerge w:val="restart"/>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eastAsia" w:ascii="Times New Roman" w:hAnsi="Times New Roman" w:eastAsia="仿宋_GB2312" w:cs="宋体"/>
                <w:i w:val="0"/>
                <w:iCs w:val="0"/>
                <w:color w:val="000000"/>
                <w:kern w:val="0"/>
                <w:sz w:val="24"/>
                <w:szCs w:val="24"/>
                <w:u w:val="none"/>
                <w:lang w:val="en-US" w:eastAsia="zh-CN" w:bidi="ar"/>
              </w:rPr>
              <w:t>广州市花都区花城街杨二村经济联合社、杨二村草弄经济合作社、存心经济合作社、大龙经济合作社、榕树经济合作社、泗合经济合作社、上头经济合作社、瓦窑经济合作社、新村经济合作社</w:t>
            </w:r>
          </w:p>
        </w:tc>
        <w:tc>
          <w:tcPr>
            <w:tcW w:w="533" w:type="dxa"/>
            <w:vMerge w:val="restart"/>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eastAsia" w:ascii="仿宋_GB2312" w:hAnsi="宋体" w:eastAsia="仿宋_GB2312" w:cs="仿宋_GB2312"/>
                <w:i w:val="0"/>
                <w:iCs w:val="0"/>
                <w:color w:val="000000"/>
                <w:kern w:val="0"/>
                <w:sz w:val="24"/>
                <w:szCs w:val="24"/>
                <w:u w:val="none"/>
                <w:lang w:val="en-US" w:eastAsia="zh-CN" w:bidi="ar"/>
              </w:rPr>
              <w:t>耕地</w:t>
            </w:r>
          </w:p>
        </w:tc>
        <w:tc>
          <w:tcPr>
            <w:tcW w:w="97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eastAsia" w:ascii="仿宋_GB2312" w:hAnsi="宋体" w:eastAsia="仿宋_GB2312" w:cs="仿宋_GB2312"/>
                <w:i w:val="0"/>
                <w:iCs w:val="0"/>
                <w:color w:val="000000"/>
                <w:kern w:val="0"/>
                <w:sz w:val="24"/>
                <w:szCs w:val="24"/>
                <w:u w:val="none"/>
                <w:lang w:val="en-US" w:eastAsia="zh-CN" w:bidi="ar"/>
              </w:rPr>
              <w:t>水田</w:t>
            </w:r>
          </w:p>
        </w:tc>
        <w:tc>
          <w:tcPr>
            <w:tcW w:w="1040"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rPr>
            </w:pPr>
            <w:r>
              <w:rPr>
                <w:rFonts w:hint="eastAsia" w:cs="Times New Roman"/>
                <w:i w:val="0"/>
                <w:iCs w:val="0"/>
                <w:color w:val="000000"/>
                <w:kern w:val="0"/>
                <w:sz w:val="21"/>
                <w:szCs w:val="21"/>
                <w:u w:val="none"/>
                <w:lang w:val="en-US" w:eastAsia="zh-CN" w:bidi="ar"/>
              </w:rPr>
              <w:t>10.4442</w:t>
            </w:r>
          </w:p>
        </w:tc>
        <w:tc>
          <w:tcPr>
            <w:tcW w:w="946"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160"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rPr>
            </w:pPr>
            <w:r>
              <w:rPr>
                <w:rFonts w:hint="eastAsia" w:cs="Times New Roman"/>
                <w:i w:val="0"/>
                <w:iCs w:val="0"/>
                <w:color w:val="000000"/>
                <w:kern w:val="0"/>
                <w:sz w:val="21"/>
                <w:szCs w:val="21"/>
                <w:u w:val="none"/>
                <w:lang w:val="en-US" w:eastAsia="zh-CN" w:bidi="ar"/>
              </w:rPr>
              <w:t>1253.3040</w:t>
            </w:r>
          </w:p>
        </w:tc>
        <w:tc>
          <w:tcPr>
            <w:tcW w:w="1027"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133"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rPr>
            </w:pPr>
            <w:r>
              <w:rPr>
                <w:rFonts w:hint="eastAsia" w:cs="Times New Roman"/>
                <w:i w:val="0"/>
                <w:iCs w:val="0"/>
                <w:color w:val="000000"/>
                <w:kern w:val="0"/>
                <w:sz w:val="21"/>
                <w:szCs w:val="21"/>
                <w:u w:val="none"/>
                <w:lang w:val="en-US" w:eastAsia="zh-CN" w:bidi="ar"/>
              </w:rPr>
              <w:t>1253.3040</w:t>
            </w:r>
          </w:p>
        </w:tc>
        <w:tc>
          <w:tcPr>
            <w:tcW w:w="1479"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eastAsia" w:cs="Times New Roman"/>
                <w:i w:val="0"/>
                <w:iCs w:val="0"/>
                <w:color w:val="000000"/>
                <w:kern w:val="0"/>
                <w:sz w:val="21"/>
                <w:szCs w:val="21"/>
                <w:u w:val="none"/>
                <w:lang w:val="en-US" w:eastAsia="zh-CN" w:bidi="ar"/>
              </w:rPr>
              <w:t>2506.6080</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27" w:type="dxa"/>
            <w:vMerge w:val="continue"/>
            <w:vAlign w:val="center"/>
          </w:tcPr>
          <w:p>
            <w:pPr>
              <w:jc w:val="center"/>
              <w:rPr>
                <w:rFonts w:hint="default" w:ascii="Times New Roman" w:hAnsi="Times New Roman" w:eastAsia="仿宋_GB2312" w:cs="Times New Roman"/>
                <w:sz w:val="24"/>
              </w:rPr>
            </w:pPr>
          </w:p>
        </w:tc>
        <w:tc>
          <w:tcPr>
            <w:tcW w:w="533"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eastAsia" w:ascii="仿宋_GB2312" w:hAnsi="宋体" w:eastAsia="仿宋_GB2312" w:cs="仿宋_GB2312"/>
                <w:i w:val="0"/>
                <w:iCs w:val="0"/>
                <w:color w:val="000000"/>
                <w:kern w:val="0"/>
                <w:sz w:val="24"/>
                <w:szCs w:val="24"/>
                <w:u w:val="none"/>
                <w:lang w:val="en-US" w:eastAsia="zh-CN" w:bidi="ar"/>
              </w:rPr>
              <w:t>水浇地</w:t>
            </w:r>
          </w:p>
        </w:tc>
        <w:tc>
          <w:tcPr>
            <w:tcW w:w="1040"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0.5509</w:t>
            </w:r>
          </w:p>
        </w:tc>
        <w:tc>
          <w:tcPr>
            <w:tcW w:w="946" w:type="dxa"/>
            <w:vAlign w:val="center"/>
          </w:tcPr>
          <w:p>
            <w:pPr>
              <w:keepNext w:val="0"/>
              <w:keepLines w:val="0"/>
              <w:widowControl/>
              <w:suppressLineNumbers w:val="0"/>
              <w:snapToGrid w:val="0"/>
              <w:spacing w:line="240" w:lineRule="auto"/>
              <w:jc w:val="center"/>
              <w:textAlignment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120</w:t>
            </w:r>
          </w:p>
        </w:tc>
        <w:tc>
          <w:tcPr>
            <w:tcW w:w="1160"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66.1080</w:t>
            </w:r>
          </w:p>
        </w:tc>
        <w:tc>
          <w:tcPr>
            <w:tcW w:w="1027"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120</w:t>
            </w:r>
          </w:p>
        </w:tc>
        <w:tc>
          <w:tcPr>
            <w:tcW w:w="1133" w:type="dxa"/>
            <w:vAlign w:val="center"/>
          </w:tcPr>
          <w:p>
            <w:pPr>
              <w:keepNext w:val="0"/>
              <w:keepLines w:val="0"/>
              <w:widowControl/>
              <w:suppressLineNumbers w:val="0"/>
              <w:snapToGrid w:val="0"/>
              <w:spacing w:line="240" w:lineRule="auto"/>
              <w:jc w:val="center"/>
              <w:textAlignment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66.1080</w:t>
            </w:r>
          </w:p>
        </w:tc>
        <w:tc>
          <w:tcPr>
            <w:tcW w:w="1479"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132.2160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27" w:type="dxa"/>
            <w:vMerge w:val="continue"/>
            <w:vAlign w:val="center"/>
          </w:tcPr>
          <w:p>
            <w:pPr>
              <w:jc w:val="center"/>
              <w:rPr>
                <w:rFonts w:hint="default" w:ascii="Times New Roman" w:hAnsi="Times New Roman" w:eastAsia="仿宋_GB2312" w:cs="Times New Roman"/>
                <w:sz w:val="24"/>
              </w:rPr>
            </w:pPr>
          </w:p>
        </w:tc>
        <w:tc>
          <w:tcPr>
            <w:tcW w:w="533"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eastAsia" w:ascii="仿宋_GB2312" w:hAnsi="宋体" w:eastAsia="仿宋_GB2312" w:cs="仿宋_GB2312"/>
                <w:i w:val="0"/>
                <w:iCs w:val="0"/>
                <w:color w:val="000000"/>
                <w:kern w:val="0"/>
                <w:sz w:val="24"/>
                <w:szCs w:val="24"/>
                <w:u w:val="none"/>
                <w:lang w:val="en-US" w:eastAsia="zh-CN" w:bidi="ar"/>
              </w:rPr>
              <w:t>旱地</w:t>
            </w:r>
          </w:p>
        </w:tc>
        <w:tc>
          <w:tcPr>
            <w:tcW w:w="1040"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default" w:ascii="Times New Roman" w:hAnsi="Times New Roman" w:eastAsia="仿宋_GB2312" w:cs="Times New Roman"/>
                <w:szCs w:val="21"/>
              </w:rPr>
            </w:pPr>
          </w:p>
          <w:p>
            <w:pPr>
              <w:keepNext w:val="0"/>
              <w:keepLines w:val="0"/>
              <w:widowControl/>
              <w:suppressLineNumbers w:val="0"/>
              <w:jc w:val="center"/>
              <w:textAlignment w:val="center"/>
              <w:rPr>
                <w:rFonts w:hint="default" w:ascii="Times New Roman" w:hAnsi="Times New Roman" w:eastAsia="仿宋_GB2312" w:cs="Times New Roman"/>
                <w:szCs w:val="21"/>
              </w:rPr>
            </w:pPr>
          </w:p>
        </w:tc>
        <w:tc>
          <w:tcPr>
            <w:tcW w:w="946"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default" w:ascii="Times New Roman" w:hAnsi="Times New Roman" w:eastAsia="仿宋_GB2312" w:cs="Times New Roman"/>
                <w:szCs w:val="21"/>
                <w:lang w:val="en-US" w:eastAsia="zh-CN"/>
              </w:rPr>
            </w:pPr>
          </w:p>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p>
        </w:tc>
        <w:tc>
          <w:tcPr>
            <w:tcW w:w="1160"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default" w:ascii="Times New Roman" w:hAnsi="Times New Roman" w:eastAsia="仿宋_GB2312" w:cs="Times New Roman"/>
                <w:szCs w:val="21"/>
              </w:rPr>
            </w:pPr>
          </w:p>
          <w:p>
            <w:pPr>
              <w:keepNext w:val="0"/>
              <w:keepLines w:val="0"/>
              <w:widowControl/>
              <w:suppressLineNumbers w:val="0"/>
              <w:jc w:val="center"/>
              <w:textAlignment w:val="center"/>
              <w:rPr>
                <w:rFonts w:hint="default" w:ascii="Times New Roman" w:hAnsi="Times New Roman" w:eastAsia="仿宋_GB2312" w:cs="Times New Roman"/>
                <w:szCs w:val="21"/>
              </w:rPr>
            </w:pPr>
          </w:p>
        </w:tc>
        <w:tc>
          <w:tcPr>
            <w:tcW w:w="1027"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default" w:ascii="Times New Roman" w:hAnsi="Times New Roman" w:eastAsia="仿宋_GB2312" w:cs="Times New Roman"/>
                <w:szCs w:val="21"/>
              </w:rPr>
            </w:pPr>
          </w:p>
          <w:p>
            <w:pPr>
              <w:keepNext w:val="0"/>
              <w:keepLines w:val="0"/>
              <w:widowControl/>
              <w:suppressLineNumbers w:val="0"/>
              <w:jc w:val="center"/>
              <w:textAlignment w:val="center"/>
              <w:rPr>
                <w:rFonts w:hint="default" w:ascii="Times New Roman" w:hAnsi="Times New Roman" w:eastAsia="仿宋_GB2312" w:cs="Times New Roman"/>
                <w:szCs w:val="21"/>
              </w:rPr>
            </w:pPr>
          </w:p>
        </w:tc>
        <w:tc>
          <w:tcPr>
            <w:tcW w:w="1133"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default" w:ascii="Times New Roman" w:hAnsi="Times New Roman" w:eastAsia="仿宋_GB2312" w:cs="Times New Roman"/>
                <w:szCs w:val="21"/>
              </w:rPr>
            </w:pPr>
          </w:p>
          <w:p>
            <w:pPr>
              <w:keepNext w:val="0"/>
              <w:keepLines w:val="0"/>
              <w:widowControl/>
              <w:suppressLineNumbers w:val="0"/>
              <w:jc w:val="center"/>
              <w:textAlignment w:val="center"/>
              <w:rPr>
                <w:rFonts w:hint="default" w:ascii="Times New Roman" w:hAnsi="Times New Roman" w:eastAsia="仿宋_GB2312" w:cs="Times New Roman"/>
                <w:szCs w:val="21"/>
              </w:rPr>
            </w:pPr>
          </w:p>
        </w:tc>
        <w:tc>
          <w:tcPr>
            <w:tcW w:w="147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default" w:ascii="Times New Roman" w:hAnsi="Times New Roman" w:eastAsia="仿宋_GB2312" w:cs="Times New Roman"/>
                <w:szCs w:val="21"/>
              </w:rPr>
            </w:pPr>
          </w:p>
          <w:p>
            <w:pPr>
              <w:keepNext w:val="0"/>
              <w:keepLines w:val="0"/>
              <w:widowControl/>
              <w:suppressLineNumbers w:val="0"/>
              <w:jc w:val="center"/>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7" w:type="dxa"/>
            <w:vMerge w:val="continue"/>
            <w:vAlign w:val="center"/>
          </w:tcPr>
          <w:p>
            <w:pPr>
              <w:jc w:val="center"/>
              <w:rPr>
                <w:rFonts w:hint="default" w:ascii="Times New Roman" w:hAnsi="Times New Roman" w:eastAsia="仿宋_GB2312" w:cs="Times New Roman"/>
                <w:sz w:val="24"/>
              </w:rPr>
            </w:pPr>
          </w:p>
        </w:tc>
        <w:tc>
          <w:tcPr>
            <w:tcW w:w="1507" w:type="dxa"/>
            <w:gridSpan w:val="2"/>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eastAsia" w:ascii="仿宋_GB2312" w:hAnsi="宋体" w:eastAsia="仿宋_GB2312" w:cs="仿宋_GB2312"/>
                <w:i w:val="0"/>
                <w:iCs w:val="0"/>
                <w:color w:val="000000"/>
                <w:kern w:val="0"/>
                <w:sz w:val="24"/>
                <w:szCs w:val="24"/>
                <w:u w:val="none"/>
                <w:lang w:val="en-US" w:eastAsia="zh-CN" w:bidi="ar"/>
              </w:rPr>
              <w:t>园地</w:t>
            </w:r>
          </w:p>
        </w:tc>
        <w:tc>
          <w:tcPr>
            <w:tcW w:w="1040"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eastAsia" w:cs="Times New Roman"/>
                <w:i w:val="0"/>
                <w:iCs w:val="0"/>
                <w:color w:val="000000"/>
                <w:kern w:val="0"/>
                <w:sz w:val="21"/>
                <w:szCs w:val="21"/>
                <w:u w:val="none"/>
                <w:lang w:val="en-US" w:eastAsia="zh-CN" w:bidi="ar"/>
              </w:rPr>
              <w:t>8.3720</w:t>
            </w:r>
            <w:r>
              <w:rPr>
                <w:rFonts w:hint="default" w:ascii="Times New Roman" w:hAnsi="Times New Roman" w:cs="Times New Roman"/>
                <w:i w:val="0"/>
                <w:iCs w:val="0"/>
                <w:color w:val="000000"/>
                <w:kern w:val="0"/>
                <w:sz w:val="21"/>
                <w:szCs w:val="21"/>
                <w:u w:val="none"/>
                <w:lang w:val="en-US" w:eastAsia="zh-CN" w:bidi="ar"/>
              </w:rPr>
              <w:t xml:space="preserve"> </w:t>
            </w:r>
          </w:p>
        </w:tc>
        <w:tc>
          <w:tcPr>
            <w:tcW w:w="946"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160"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eastAsia="zh-CN"/>
              </w:rPr>
            </w:pPr>
            <w:r>
              <w:rPr>
                <w:rFonts w:hint="eastAsia" w:cs="Times New Roman"/>
                <w:i w:val="0"/>
                <w:iCs w:val="0"/>
                <w:color w:val="000000"/>
                <w:kern w:val="0"/>
                <w:sz w:val="21"/>
                <w:szCs w:val="21"/>
                <w:u w:val="none"/>
                <w:lang w:val="en-US" w:eastAsia="zh-CN" w:bidi="ar"/>
              </w:rPr>
              <w:t>1004.6400</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027"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133"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1004.6400</w:t>
            </w:r>
          </w:p>
        </w:tc>
        <w:tc>
          <w:tcPr>
            <w:tcW w:w="1479"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2009.2800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7" w:type="dxa"/>
            <w:vMerge w:val="continue"/>
            <w:vAlign w:val="center"/>
          </w:tcPr>
          <w:p>
            <w:pPr>
              <w:jc w:val="center"/>
              <w:rPr>
                <w:rFonts w:hint="default" w:ascii="Times New Roman" w:hAnsi="Times New Roman" w:eastAsia="仿宋_GB2312" w:cs="Times New Roman"/>
                <w:sz w:val="24"/>
              </w:rPr>
            </w:pPr>
          </w:p>
        </w:tc>
        <w:tc>
          <w:tcPr>
            <w:tcW w:w="1507" w:type="dxa"/>
            <w:gridSpan w:val="2"/>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林地</w:t>
            </w:r>
          </w:p>
        </w:tc>
        <w:tc>
          <w:tcPr>
            <w:tcW w:w="1040"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default" w:ascii="Times New Roman" w:hAnsi="Times New Roman" w:eastAsia="仿宋_GB2312" w:cs="Times New Roman"/>
                <w:szCs w:val="21"/>
              </w:rPr>
            </w:pP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46"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default" w:ascii="Times New Roman" w:hAnsi="Times New Roman" w:eastAsia="仿宋_GB2312" w:cs="Times New Roman"/>
                <w:szCs w:val="21"/>
                <w:lang w:val="en-US" w:eastAsia="zh-CN"/>
              </w:rPr>
            </w:pP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60"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default" w:ascii="Times New Roman" w:hAnsi="Times New Roman" w:eastAsia="仿宋_GB2312" w:cs="Times New Roman"/>
                <w:szCs w:val="21"/>
                <w:lang w:eastAsia="zh-CN"/>
              </w:rPr>
            </w:pP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027" w:type="dxa"/>
            <w:tcBorders>
              <w:bottom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default" w:ascii="Times New Roman" w:hAnsi="Times New Roman" w:eastAsia="仿宋_GB2312" w:cs="Times New Roman"/>
                <w:szCs w:val="21"/>
                <w:lang w:eastAsia="zh-CN"/>
              </w:rPr>
            </w:pP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33" w:type="dxa"/>
            <w:tcBorders>
              <w:bottom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default" w:ascii="Times New Roman" w:hAnsi="Times New Roman" w:eastAsia="仿宋_GB2312" w:cs="Times New Roman"/>
                <w:szCs w:val="21"/>
                <w:lang w:eastAsia="zh-CN"/>
              </w:rPr>
            </w:pP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47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both"/>
              <w:textAlignment w:val="center"/>
              <mc:AlternateContent>
                <mc:Choice Requires="wpsCustomData">
                  <wpsCustomData:diagonalParaType/>
                </mc:Choice>
              </mc:AlternateContent>
              <w:rPr>
                <w:rFonts w:hint="default" w:ascii="Times New Roman" w:hAnsi="Times New Roman" w:eastAsia="仿宋_GB2312" w:cs="Times New Roman"/>
                <w:szCs w:val="21"/>
                <w:lang w:eastAsia="zh-CN"/>
              </w:rPr>
            </w:pPr>
          </w:p>
          <w:p>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7" w:type="dxa"/>
            <w:vMerge w:val="continue"/>
            <w:vAlign w:val="center"/>
          </w:tcPr>
          <w:p>
            <w:pPr>
              <w:jc w:val="center"/>
              <w:rPr>
                <w:rFonts w:hint="default" w:ascii="Times New Roman" w:hAnsi="Times New Roman" w:eastAsia="仿宋_GB2312" w:cs="Times New Roman"/>
                <w:sz w:val="24"/>
              </w:rPr>
            </w:pPr>
          </w:p>
        </w:tc>
        <w:tc>
          <w:tcPr>
            <w:tcW w:w="1507" w:type="dxa"/>
            <w:gridSpan w:val="2"/>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草地</w:t>
            </w:r>
          </w:p>
        </w:tc>
        <w:tc>
          <w:tcPr>
            <w:tcW w:w="1040"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0.0216</w:t>
            </w:r>
          </w:p>
        </w:tc>
        <w:tc>
          <w:tcPr>
            <w:tcW w:w="946" w:type="dxa"/>
            <w:vAlign w:val="center"/>
          </w:tcPr>
          <w:p>
            <w:pPr>
              <w:keepNext w:val="0"/>
              <w:keepLines w:val="0"/>
              <w:widowControl/>
              <w:suppressLineNumbers w:val="0"/>
              <w:jc w:val="center"/>
              <w:textAlignment w:val="center"/>
              <w:rPr>
                <w:rFonts w:hint="eastAsia" w:ascii="Times New Roman" w:hAnsi="Times New Roman" w:eastAsia="仿宋_GB2312"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160"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2.5920 </w:t>
            </w:r>
          </w:p>
        </w:tc>
        <w:tc>
          <w:tcPr>
            <w:tcW w:w="1027" w:type="dxa"/>
            <w:tcBorders>
              <w:bottom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13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2.5920 </w:t>
            </w:r>
          </w:p>
        </w:tc>
        <w:tc>
          <w:tcPr>
            <w:tcW w:w="1479"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5.1840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7" w:type="dxa"/>
            <w:vMerge w:val="continue"/>
            <w:vAlign w:val="center"/>
          </w:tcPr>
          <w:p>
            <w:pPr>
              <w:jc w:val="center"/>
              <w:rPr>
                <w:rFonts w:hint="default" w:ascii="Times New Roman" w:hAnsi="Times New Roman" w:eastAsia="仿宋_GB2312" w:cs="Times New Roman"/>
                <w:sz w:val="24"/>
              </w:rPr>
            </w:pPr>
          </w:p>
        </w:tc>
        <w:tc>
          <w:tcPr>
            <w:tcW w:w="1507" w:type="dxa"/>
            <w:gridSpan w:val="2"/>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eastAsia" w:ascii="仿宋_GB2312" w:hAnsi="宋体" w:eastAsia="仿宋_GB2312" w:cs="仿宋_GB2312"/>
                <w:i w:val="0"/>
                <w:iCs w:val="0"/>
                <w:color w:val="000000"/>
                <w:kern w:val="0"/>
                <w:sz w:val="24"/>
                <w:szCs w:val="24"/>
                <w:u w:val="none"/>
                <w:lang w:val="en-US" w:eastAsia="zh-CN" w:bidi="ar"/>
              </w:rPr>
              <w:t>其他农用地</w:t>
            </w:r>
          </w:p>
        </w:tc>
        <w:tc>
          <w:tcPr>
            <w:tcW w:w="1040"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0.7791</w:t>
            </w:r>
          </w:p>
        </w:tc>
        <w:tc>
          <w:tcPr>
            <w:tcW w:w="946"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120</w:t>
            </w:r>
          </w:p>
        </w:tc>
        <w:tc>
          <w:tcPr>
            <w:tcW w:w="1160"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93.4920</w:t>
            </w:r>
          </w:p>
        </w:tc>
        <w:tc>
          <w:tcPr>
            <w:tcW w:w="1027"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120</w:t>
            </w:r>
          </w:p>
        </w:tc>
        <w:tc>
          <w:tcPr>
            <w:tcW w:w="113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93.4920</w:t>
            </w:r>
          </w:p>
        </w:tc>
        <w:tc>
          <w:tcPr>
            <w:tcW w:w="1479"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186.9840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7" w:type="dxa"/>
            <w:vMerge w:val="continue"/>
            <w:vAlign w:val="center"/>
          </w:tcPr>
          <w:p>
            <w:pPr>
              <w:jc w:val="center"/>
              <w:rPr>
                <w:rFonts w:hint="default" w:ascii="Times New Roman" w:hAnsi="Times New Roman" w:eastAsia="仿宋_GB2312" w:cs="Times New Roman"/>
                <w:sz w:val="24"/>
              </w:rPr>
            </w:pPr>
          </w:p>
        </w:tc>
        <w:tc>
          <w:tcPr>
            <w:tcW w:w="1507" w:type="dxa"/>
            <w:gridSpan w:val="2"/>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eastAsia" w:ascii="仿宋_GB2312" w:hAnsi="宋体" w:eastAsia="仿宋_GB2312" w:cs="仿宋_GB2312"/>
                <w:i w:val="0"/>
                <w:iCs w:val="0"/>
                <w:color w:val="000000"/>
                <w:kern w:val="0"/>
                <w:sz w:val="24"/>
                <w:szCs w:val="24"/>
                <w:u w:val="none"/>
                <w:lang w:val="en-US" w:eastAsia="zh-CN" w:bidi="ar"/>
              </w:rPr>
              <w:t>建设用地</w:t>
            </w:r>
          </w:p>
        </w:tc>
        <w:tc>
          <w:tcPr>
            <w:tcW w:w="1040"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cs="Times New Roman"/>
                <w:i w:val="0"/>
                <w:iCs w:val="0"/>
                <w:color w:val="000000"/>
                <w:kern w:val="0"/>
                <w:sz w:val="21"/>
                <w:szCs w:val="21"/>
                <w:u w:val="none"/>
                <w:lang w:val="en-US" w:eastAsia="zh-CN" w:bidi="ar"/>
              </w:rPr>
              <w:t>6.5473</w:t>
            </w:r>
          </w:p>
        </w:tc>
        <w:tc>
          <w:tcPr>
            <w:tcW w:w="946"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1160"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cs="Times New Roman"/>
                <w:i w:val="0"/>
                <w:iCs w:val="0"/>
                <w:color w:val="000000"/>
                <w:kern w:val="0"/>
                <w:sz w:val="21"/>
                <w:szCs w:val="21"/>
                <w:u w:val="none"/>
                <w:lang w:val="en-US" w:eastAsia="zh-CN" w:bidi="ar"/>
              </w:rPr>
              <w:t>1571.3520</w:t>
            </w:r>
          </w:p>
        </w:tc>
        <w:tc>
          <w:tcPr>
            <w:tcW w:w="1027" w:type="dxa"/>
            <w:tcBorders>
              <w:bottom w:val="single" w:color="auto" w:sz="4" w:space="0"/>
              <w:tl2br w:val="single" w:color="auto" w:sz="4" w:space="0"/>
              <w:tr2bl w:val="nil"/>
            </w:tcBorders>
            <w:vAlign w:val="center"/>
          </w:tcPr>
          <w:p>
            <w:pPr>
              <w:jc w:val="center"/>
              <w:rPr>
                <w:rFonts w:hint="default" w:ascii="Times New Roman" w:hAnsi="Times New Roman" w:eastAsia="仿宋_GB2312" w:cs="Times New Roman"/>
                <w:szCs w:val="21"/>
              </w:rPr>
            </w:pPr>
          </w:p>
        </w:tc>
        <w:tc>
          <w:tcPr>
            <w:tcW w:w="1133" w:type="dxa"/>
            <w:tcBorders>
              <w:bottom w:val="single" w:color="auto" w:sz="4" w:space="0"/>
              <w:tl2br w:val="single" w:color="auto" w:sz="4" w:space="0"/>
              <w:tr2bl w:val="nil"/>
            </w:tcBorders>
            <w:vAlign w:val="center"/>
          </w:tcPr>
          <w:p>
            <w:pPr>
              <w:jc w:val="center"/>
              <w:rPr>
                <w:rFonts w:hint="default" w:ascii="Times New Roman" w:hAnsi="Times New Roman" w:eastAsia="仿宋_GB2312" w:cs="Times New Roman"/>
                <w:szCs w:val="21"/>
              </w:rPr>
            </w:pPr>
          </w:p>
        </w:tc>
        <w:tc>
          <w:tcPr>
            <w:tcW w:w="1479"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cs="Times New Roman"/>
                <w:i w:val="0"/>
                <w:iCs w:val="0"/>
                <w:color w:val="000000"/>
                <w:kern w:val="0"/>
                <w:sz w:val="21"/>
                <w:szCs w:val="21"/>
                <w:u w:val="none"/>
                <w:lang w:val="en-US" w:eastAsia="zh-CN" w:bidi="ar"/>
              </w:rPr>
              <w:t>1571.3520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27" w:type="dxa"/>
            <w:vMerge w:val="continue"/>
            <w:vAlign w:val="center"/>
          </w:tcPr>
          <w:p>
            <w:pPr>
              <w:jc w:val="center"/>
              <w:rPr>
                <w:rFonts w:hint="default" w:ascii="Times New Roman" w:hAnsi="Times New Roman" w:eastAsia="仿宋_GB2312" w:cs="Times New Roman"/>
                <w:sz w:val="24"/>
              </w:rPr>
            </w:pPr>
          </w:p>
        </w:tc>
        <w:tc>
          <w:tcPr>
            <w:tcW w:w="1507" w:type="dxa"/>
            <w:gridSpan w:val="2"/>
            <w:vAlign w:val="center"/>
          </w:tcPr>
          <w:p>
            <w:pPr>
              <w:keepNext w:val="0"/>
              <w:keepLines w:val="0"/>
              <w:widowControl/>
              <w:suppressLineNumbers w:val="0"/>
              <w:jc w:val="center"/>
              <w:textAlignment w:val="center"/>
              <w:rPr>
                <w:rFonts w:hint="default" w:ascii="Times New Roman" w:hAnsi="Times New Roman" w:eastAsia="仿宋_GB2312" w:cs="Times New Roman"/>
                <w:sz w:val="24"/>
              </w:rPr>
            </w:pPr>
            <w:r>
              <w:rPr>
                <w:rFonts w:hint="eastAsia" w:ascii="仿宋_GB2312" w:hAnsi="宋体" w:eastAsia="仿宋_GB2312" w:cs="仿宋_GB2312"/>
                <w:i w:val="0"/>
                <w:iCs w:val="0"/>
                <w:color w:val="000000"/>
                <w:kern w:val="0"/>
                <w:sz w:val="24"/>
                <w:szCs w:val="24"/>
                <w:u w:val="none"/>
                <w:lang w:val="en-US" w:eastAsia="zh-CN" w:bidi="ar"/>
              </w:rPr>
              <w:t>未利用地</w:t>
            </w:r>
          </w:p>
        </w:tc>
        <w:tc>
          <w:tcPr>
            <w:tcW w:w="1040"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default" w:ascii="Times New Roman" w:hAnsi="Times New Roman" w:eastAsia="仿宋_GB2312" w:cs="Times New Roman"/>
                <w:szCs w:val="21"/>
              </w:rPr>
            </w:pPr>
          </w:p>
          <w:p>
            <w:pPr>
              <w:keepNext w:val="0"/>
              <w:keepLines w:val="0"/>
              <w:widowControl/>
              <w:suppressLineNumbers w:val="0"/>
              <w:jc w:val="center"/>
              <w:textAlignment w:val="center"/>
              <w:rPr>
                <w:rFonts w:hint="default" w:ascii="Times New Roman" w:hAnsi="Times New Roman" w:eastAsia="仿宋_GB2312" w:cs="Times New Roman"/>
                <w:szCs w:val="21"/>
              </w:rPr>
            </w:pPr>
          </w:p>
        </w:tc>
        <w:tc>
          <w:tcPr>
            <w:tcW w:w="946"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default" w:ascii="Times New Roman" w:hAnsi="Times New Roman" w:eastAsia="仿宋_GB2312" w:cs="Times New Roman"/>
                <w:szCs w:val="21"/>
                <w:lang w:val="en-US" w:eastAsia="zh-CN"/>
              </w:rPr>
            </w:pPr>
          </w:p>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p>
        </w:tc>
        <w:tc>
          <w:tcPr>
            <w:tcW w:w="1160"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default" w:ascii="Times New Roman" w:hAnsi="Times New Roman" w:eastAsia="仿宋_GB2312" w:cs="Times New Roman"/>
                <w:szCs w:val="21"/>
                <w:lang w:eastAsia="zh-CN"/>
              </w:rPr>
            </w:pPr>
          </w:p>
          <w:p>
            <w:pPr>
              <w:keepNext w:val="0"/>
              <w:keepLines w:val="0"/>
              <w:widowControl/>
              <w:suppressLineNumbers w:val="0"/>
              <w:jc w:val="center"/>
              <w:textAlignment w:val="center"/>
              <w:rPr>
                <w:rFonts w:hint="default" w:ascii="Times New Roman" w:hAnsi="Times New Roman" w:eastAsia="仿宋_GB2312" w:cs="Times New Roman"/>
                <w:szCs w:val="21"/>
                <w:lang w:eastAsia="zh-CN"/>
              </w:rPr>
            </w:pPr>
          </w:p>
        </w:tc>
        <w:tc>
          <w:tcPr>
            <w:tcW w:w="1027" w:type="dxa"/>
            <w:tcBorders>
              <w:tl2br w:val="single" w:color="auto" w:sz="4" w:space="0"/>
              <w:tr2bl w:val="nil"/>
            </w:tcBorders>
            <w:vAlign w:val="center"/>
          </w:tcPr>
          <w:p>
            <w:pPr>
              <w:jc w:val="center"/>
              <w:rPr>
                <w:rFonts w:hint="default" w:ascii="Times New Roman" w:hAnsi="Times New Roman" w:eastAsia="仿宋_GB2312" w:cs="Times New Roman"/>
                <w:szCs w:val="21"/>
              </w:rPr>
            </w:pPr>
          </w:p>
        </w:tc>
        <w:tc>
          <w:tcPr>
            <w:tcW w:w="1133" w:type="dxa"/>
            <w:tcBorders>
              <w:tl2br w:val="single" w:color="auto" w:sz="4" w:space="0"/>
              <w:tr2bl w:val="nil"/>
            </w:tcBorders>
            <w:vAlign w:val="center"/>
          </w:tcPr>
          <w:p>
            <w:pPr>
              <w:jc w:val="center"/>
              <w:rPr>
                <w:rFonts w:hint="default" w:ascii="Times New Roman" w:hAnsi="Times New Roman" w:eastAsia="仿宋_GB2312" w:cs="Times New Roman"/>
                <w:szCs w:val="21"/>
              </w:rPr>
            </w:pPr>
          </w:p>
        </w:tc>
        <w:tc>
          <w:tcPr>
            <w:tcW w:w="147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widowControl/>
              <w:suppressLineNumbers w:val="0"/>
              <w:snapToGrid w:val="0"/>
              <w:spacing w:line="240" w:lineRule="auto"/>
              <w:jc w:val="both"/>
              <w:textAlignment w:val="center"/>
              <mc:AlternateContent>
                <mc:Choice Requires="wpsCustomData">
                  <wpsCustomData:diagonalParaType/>
                </mc:Choice>
              </mc:AlternateContent>
              <w:rPr>
                <w:rFonts w:hint="default" w:ascii="Times New Roman" w:hAnsi="Times New Roman" w:eastAsia="仿宋_GB2312" w:cs="Times New Roman"/>
                <w:szCs w:val="21"/>
                <w:lang w:eastAsia="zh-CN"/>
              </w:rPr>
            </w:pPr>
          </w:p>
          <w:p>
            <w:pPr>
              <w:keepNext w:val="0"/>
              <w:keepLines w:val="0"/>
              <w:widowControl/>
              <w:suppressLineNumbers w:val="0"/>
              <w:jc w:val="both"/>
              <w:textAlignment w:val="center"/>
              <w:rPr>
                <w:rFonts w:hint="default" w:ascii="Times New Roman" w:hAnsi="Times New Roman" w:eastAsia="仿宋_GB2312" w:cs="Times New Roman"/>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7" w:type="dxa"/>
            <w:vMerge w:val="continue"/>
            <w:vAlign w:val="center"/>
          </w:tcPr>
          <w:p>
            <w:pPr>
              <w:jc w:val="center"/>
              <w:rPr>
                <w:rFonts w:hint="default" w:ascii="Times New Roman" w:hAnsi="Times New Roman" w:eastAsia="仿宋_GB2312" w:cs="Times New Roman"/>
                <w:sz w:val="24"/>
              </w:rPr>
            </w:pPr>
          </w:p>
        </w:tc>
        <w:tc>
          <w:tcPr>
            <w:tcW w:w="6813" w:type="dxa"/>
            <w:gridSpan w:val="7"/>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eastAsia" w:ascii="仿宋_GB2312" w:hAnsi="宋体" w:eastAsia="仿宋_GB2312" w:cs="仿宋_GB2312"/>
                <w:i w:val="0"/>
                <w:iCs w:val="0"/>
                <w:color w:val="000000"/>
                <w:kern w:val="0"/>
                <w:sz w:val="24"/>
                <w:szCs w:val="24"/>
                <w:u w:val="none"/>
                <w:lang w:val="en-US" w:eastAsia="zh-CN" w:bidi="ar"/>
              </w:rPr>
              <w:t>土地补偿费与安置补助费合计</w:t>
            </w:r>
          </w:p>
        </w:tc>
        <w:tc>
          <w:tcPr>
            <w:tcW w:w="1479"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6411.6240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eastAsia="仿宋_GB2312" w:cs="Times New Roman"/>
          <w:sz w:val="32"/>
          <w:szCs w:val="32"/>
          <w:highlight w:val="none"/>
          <w:lang w:val="en-US" w:eastAsia="zh-CN"/>
        </w:rPr>
        <w:t>2.6715</w:t>
      </w:r>
      <w:r>
        <w:rPr>
          <w:rFonts w:hint="eastAsia" w:ascii="仿宋_GB2312" w:eastAsia="仿宋_GB2312"/>
          <w:sz w:val="32"/>
          <w:szCs w:val="32"/>
          <w:lang w:val="en-US" w:eastAsia="zh-CN"/>
        </w:rPr>
        <w:t>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highlight w:val="none"/>
        </w:rPr>
        <w:t>留用地兑现方式为实</w:t>
      </w:r>
      <w:r>
        <w:rPr>
          <w:rFonts w:hint="eastAsia" w:ascii="仿宋_GB2312" w:eastAsia="仿宋_GB2312"/>
          <w:sz w:val="32"/>
          <w:szCs w:val="32"/>
          <w:highlight w:val="none"/>
          <w:lang w:eastAsia="zh-CN"/>
        </w:rPr>
        <w:t>物</w:t>
      </w:r>
      <w:r>
        <w:rPr>
          <w:rFonts w:hint="eastAsia" w:ascii="仿宋_GB2312" w:eastAsia="仿宋_GB2312"/>
          <w:sz w:val="32"/>
          <w:szCs w:val="32"/>
          <w:highlight w:val="none"/>
        </w:rPr>
        <w:t>留地，</w:t>
      </w:r>
      <w:r>
        <w:rPr>
          <w:rFonts w:hint="eastAsia" w:eastAsia="仿宋_GB2312" w:cs="Times New Roman"/>
          <w:color w:val="auto"/>
          <w:sz w:val="32"/>
          <w:szCs w:val="32"/>
          <w:highlight w:val="none"/>
          <w:lang w:val="en-US" w:eastAsia="zh-CN"/>
        </w:rPr>
        <w:t>拟在地块外安排落实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highlight w:val="none"/>
        </w:rPr>
        <w:t>给上述被征地</w:t>
      </w:r>
      <w:r>
        <w:rPr>
          <w:rFonts w:hint="default" w:ascii="Times New Roman" w:hAnsi="Times New Roman" w:eastAsia="仿宋_GB2312" w:cs="Times New Roman"/>
          <w:sz w:val="32"/>
        </w:rPr>
        <w:t>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bookmarkStart w:id="0" w:name="_GoBack"/>
      <w:bookmarkEnd w:id="0"/>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0YmU0MTFhYTU5ZWI2NGZiZTg3YWIwNjg3ZTE3NTQifQ=="/>
  </w:docVars>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2BF56F3"/>
    <w:rsid w:val="047D565D"/>
    <w:rsid w:val="048E01FF"/>
    <w:rsid w:val="09373001"/>
    <w:rsid w:val="0B017B66"/>
    <w:rsid w:val="0C4869FB"/>
    <w:rsid w:val="0E8E79F1"/>
    <w:rsid w:val="0F036D42"/>
    <w:rsid w:val="0F7468AC"/>
    <w:rsid w:val="10C95C7C"/>
    <w:rsid w:val="175775B7"/>
    <w:rsid w:val="1AAE50AD"/>
    <w:rsid w:val="1B67425E"/>
    <w:rsid w:val="201F2242"/>
    <w:rsid w:val="216F57DF"/>
    <w:rsid w:val="24E442BA"/>
    <w:rsid w:val="251454D0"/>
    <w:rsid w:val="289B209A"/>
    <w:rsid w:val="2BD55167"/>
    <w:rsid w:val="2C302BC5"/>
    <w:rsid w:val="2C9659B9"/>
    <w:rsid w:val="2EF0642D"/>
    <w:rsid w:val="2F1124AC"/>
    <w:rsid w:val="333D0568"/>
    <w:rsid w:val="3C38025F"/>
    <w:rsid w:val="3C992538"/>
    <w:rsid w:val="3EE7627F"/>
    <w:rsid w:val="3F3A5E5C"/>
    <w:rsid w:val="3F3B12E2"/>
    <w:rsid w:val="42B31A3C"/>
    <w:rsid w:val="43232767"/>
    <w:rsid w:val="45296E84"/>
    <w:rsid w:val="46212862"/>
    <w:rsid w:val="469601E4"/>
    <w:rsid w:val="46B93A18"/>
    <w:rsid w:val="47C40AA6"/>
    <w:rsid w:val="494E5AF8"/>
    <w:rsid w:val="4B3F663F"/>
    <w:rsid w:val="4B442BE5"/>
    <w:rsid w:val="4F022724"/>
    <w:rsid w:val="50082F1B"/>
    <w:rsid w:val="53CB23A2"/>
    <w:rsid w:val="558F35EE"/>
    <w:rsid w:val="572C1E49"/>
    <w:rsid w:val="58021AF1"/>
    <w:rsid w:val="5F19102D"/>
    <w:rsid w:val="622845F4"/>
    <w:rsid w:val="69CF412D"/>
    <w:rsid w:val="6A2503CE"/>
    <w:rsid w:val="6B3D53FB"/>
    <w:rsid w:val="6D4C5CE1"/>
    <w:rsid w:val="6DC738F3"/>
    <w:rsid w:val="6E8A201D"/>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1150</Words>
  <Characters>1441</Characters>
  <Lines>10</Lines>
  <Paragraphs>2</Paragraphs>
  <TotalTime>97</TotalTime>
  <ScaleCrop>false</ScaleCrop>
  <LinksUpToDate>false</LinksUpToDate>
  <CharactersWithSpaces>1499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李梓欣</cp:lastModifiedBy>
  <cp:lastPrinted>2022-11-05T02:52:14Z</cp:lastPrinted>
  <dcterms:modified xsi:type="dcterms:W3CDTF">2022-11-05T03:26:18Z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