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hint="eastAsia" w:ascii="黑体" w:hAnsi="黑体" w:eastAsia="黑体" w:cs="黑体"/>
          <w:sz w:val="44"/>
          <w:szCs w:val="52"/>
        </w:rPr>
      </w:pPr>
      <w:r>
        <w:rPr>
          <w:rFonts w:hint="eastAsia" w:ascii="仿宋" w:hAnsi="仿宋" w:eastAsia="仿宋"/>
          <w:color w:val="000000"/>
          <w:sz w:val="30"/>
          <w:szCs w:val="30"/>
        </w:rPr>
        <w:t>附件1</w:t>
      </w:r>
    </w:p>
    <w:p>
      <w:pPr>
        <w:spacing w:afterLines="50" w:line="560" w:lineRule="exact"/>
        <w:jc w:val="center"/>
        <w:rPr>
          <w:rFonts w:ascii="黑体" w:hAnsi="黑体" w:eastAsia="黑体" w:cs="黑体"/>
          <w:sz w:val="44"/>
          <w:szCs w:val="52"/>
        </w:rPr>
      </w:pPr>
      <w:r>
        <w:rPr>
          <w:rFonts w:hint="eastAsia" w:ascii="黑体" w:hAnsi="黑体" w:eastAsia="黑体" w:cs="黑体"/>
          <w:sz w:val="44"/>
          <w:szCs w:val="52"/>
        </w:rPr>
        <w:t>征地补偿安置方案</w:t>
      </w:r>
    </w:p>
    <w:p>
      <w:pPr>
        <w:spacing w:afterLines="50" w:line="560" w:lineRule="exact"/>
        <w:jc w:val="center"/>
        <w:rPr>
          <w:sz w:val="32"/>
        </w:rPr>
      </w:pP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 xml:space="preserve"> 为实施城镇规划，广州市南沙区人民政府拟征收</w:t>
      </w:r>
      <w:r>
        <w:rPr>
          <w:rFonts w:hint="eastAsia" w:ascii="仿宋_GB2312" w:hAnsi="仿宋_GB2312" w:eastAsia="仿宋_GB2312" w:cs="仿宋_GB2312"/>
          <w:sz w:val="32"/>
          <w:lang w:val="en-US" w:eastAsia="zh-CN"/>
        </w:rPr>
        <w:t>大岗镇新联二股份合作经济联合社农民集体</w:t>
      </w:r>
      <w:r>
        <w:rPr>
          <w:rFonts w:hint="eastAsia" w:ascii="仿宋_GB2312" w:hAnsi="仿宋_GB2312" w:eastAsia="仿宋_GB2312" w:cs="仿宋_GB2312"/>
          <w:sz w:val="32"/>
        </w:rPr>
        <w:t>属下</w:t>
      </w:r>
      <w:r>
        <w:rPr>
          <w:rFonts w:hint="eastAsia" w:ascii="仿宋_GB2312" w:hAnsi="仿宋_GB2312" w:eastAsia="仿宋_GB2312" w:cs="仿宋_GB2312"/>
          <w:sz w:val="32"/>
          <w:lang w:val="en-US" w:eastAsia="zh-CN"/>
        </w:rPr>
        <w:t>的</w:t>
      </w:r>
      <w:r>
        <w:rPr>
          <w:rFonts w:hint="eastAsia" w:ascii="仿宋_GB2312" w:hAnsi="仿宋_GB2312" w:eastAsia="仿宋_GB2312" w:cs="仿宋_GB2312"/>
          <w:sz w:val="32"/>
        </w:rPr>
        <w:t>集体</w:t>
      </w:r>
      <w:r>
        <w:rPr>
          <w:rFonts w:hint="eastAsia" w:ascii="仿宋_GB2312" w:hAnsi="仿宋_GB2312" w:eastAsia="仿宋_GB2312" w:cs="仿宋_GB2312"/>
          <w:sz w:val="32"/>
          <w:lang w:val="en-US" w:eastAsia="zh-CN"/>
        </w:rPr>
        <w:t>土地0.5993</w:t>
      </w:r>
      <w:r>
        <w:rPr>
          <w:rFonts w:hint="eastAsia" w:ascii="仿宋_GB2312" w:hAnsi="仿宋_GB2312" w:eastAsia="仿宋_GB2312" w:cs="仿宋_GB2312"/>
          <w:sz w:val="32"/>
        </w:rPr>
        <w:t>公顷。根据《中华人民共和国土地管理法》《广东省实施&lt;中华人民共和国土地管理法&gt;办法》等规定以及广州市征收农用地区片综合地价，拟定了征地补偿安置方案，具体如下：</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一、征收集体土地情况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征收集体土地总面积</w:t>
      </w:r>
      <w:r>
        <w:rPr>
          <w:rFonts w:hint="eastAsia" w:ascii="仿宋_GB2312" w:hAnsi="仿宋_GB2312" w:eastAsia="仿宋_GB2312" w:cs="仿宋_GB2312"/>
          <w:sz w:val="32"/>
          <w:szCs w:val="32"/>
          <w:lang w:val="en-US" w:eastAsia="zh-CN"/>
        </w:rPr>
        <w:t>0.5993公顷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rPr>
        <w:t>农用地</w:t>
      </w:r>
      <w:r>
        <w:rPr>
          <w:rFonts w:hint="eastAsia" w:ascii="仿宋_GB2312" w:hAnsi="仿宋_GB2312" w:eastAsia="仿宋_GB2312" w:cs="仿宋_GB2312"/>
          <w:sz w:val="32"/>
          <w:szCs w:val="32"/>
          <w:lang w:val="en-US" w:eastAsia="zh-CN"/>
        </w:rPr>
        <w:t>0.5993</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val="en-US" w:eastAsia="zh-CN"/>
        </w:rPr>
        <w:t>耕地0.3734公顷、园地0.0127公顷、其他农用地0.2132公顷</w:t>
      </w:r>
      <w:r>
        <w:rPr>
          <w:rFonts w:hint="eastAsia" w:ascii="仿宋_GB2312" w:hAnsi="仿宋_GB2312" w:eastAsia="仿宋_GB2312" w:cs="仿宋_GB2312"/>
          <w:sz w:val="32"/>
          <w:szCs w:val="32"/>
        </w:rPr>
        <w:t>）。具体结果以用地批准结果为准。</w:t>
      </w:r>
    </w:p>
    <w:p>
      <w:pPr>
        <w:numPr>
          <w:ilvl w:val="0"/>
          <w:numId w:val="1"/>
        </w:numPr>
        <w:spacing w:line="560" w:lineRule="exact"/>
        <w:ind w:left="420" w:leftChars="200"/>
        <w:rPr>
          <w:rFonts w:eastAsia="仿宋_GB2312"/>
          <w:sz w:val="32"/>
          <w:szCs w:val="32"/>
        </w:rPr>
      </w:pPr>
      <w:r>
        <w:rPr>
          <w:rFonts w:eastAsia="仿宋_GB2312"/>
          <w:sz w:val="32"/>
          <w:szCs w:val="32"/>
        </w:rPr>
        <w:t>土地补偿费与安置补偿费</w:t>
      </w:r>
    </w:p>
    <w:p>
      <w:pPr>
        <w:spacing w:beforeLines="50" w:line="560" w:lineRule="exact"/>
        <w:jc w:val="center"/>
        <w:rPr>
          <w:rFonts w:eastAsia="仿宋_GB2312"/>
          <w:b/>
          <w:bCs/>
          <w:sz w:val="28"/>
          <w:szCs w:val="28"/>
        </w:rPr>
      </w:pPr>
      <w:r>
        <w:rPr>
          <w:rFonts w:hint="eastAsia" w:eastAsia="仿宋_GB2312"/>
          <w:b/>
          <w:bCs/>
          <w:sz w:val="28"/>
          <w:szCs w:val="28"/>
        </w:rPr>
        <w:t>土地补偿费与安置补偿费一览表</w:t>
      </w:r>
    </w:p>
    <w:p>
      <w:pPr>
        <w:spacing w:line="560" w:lineRule="exact"/>
        <w:jc w:val="right"/>
        <w:rPr>
          <w:rFonts w:hint="eastAsia" w:eastAsia="仿宋_GB2312"/>
          <w:sz w:val="22"/>
          <w:szCs w:val="22"/>
        </w:rPr>
      </w:pPr>
      <w:r>
        <w:rPr>
          <w:rFonts w:hint="eastAsia" w:eastAsia="仿宋_GB2312"/>
          <w:sz w:val="22"/>
          <w:szCs w:val="22"/>
        </w:rPr>
        <w:t>（单位：公顷、万元/公顷、万元）</w:t>
      </w:r>
    </w:p>
    <w:tbl>
      <w:tblPr>
        <w:tblStyle w:val="3"/>
        <w:tblW w:w="852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680"/>
        <w:gridCol w:w="938"/>
        <w:gridCol w:w="938"/>
        <w:gridCol w:w="1178"/>
        <w:gridCol w:w="938"/>
        <w:gridCol w:w="117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93" w:type="dxa"/>
            <w:vMerge w:val="restart"/>
            <w:vAlign w:val="center"/>
          </w:tcPr>
          <w:p>
            <w:pPr>
              <w:spacing w:line="560" w:lineRule="exact"/>
              <w:jc w:val="center"/>
              <w:rPr>
                <w:rFonts w:eastAsia="仿宋_GB2312"/>
                <w:b/>
                <w:bCs/>
                <w:sz w:val="24"/>
              </w:rPr>
            </w:pPr>
            <w:r>
              <w:rPr>
                <w:rFonts w:hint="eastAsia" w:eastAsia="仿宋_GB2312"/>
                <w:b/>
                <w:bCs/>
                <w:sz w:val="24"/>
              </w:rPr>
              <w:t>单位</w:t>
            </w:r>
          </w:p>
        </w:tc>
        <w:tc>
          <w:tcPr>
            <w:tcW w:w="680" w:type="dxa"/>
            <w:vMerge w:val="restart"/>
            <w:vAlign w:val="center"/>
          </w:tcPr>
          <w:p>
            <w:pPr>
              <w:spacing w:line="560" w:lineRule="exact"/>
              <w:jc w:val="center"/>
              <w:rPr>
                <w:rFonts w:eastAsia="仿宋_GB2312"/>
                <w:b/>
                <w:bCs/>
                <w:sz w:val="24"/>
              </w:rPr>
            </w:pPr>
            <w:r>
              <w:rPr>
                <w:rFonts w:hint="eastAsia" w:eastAsia="仿宋_GB2312"/>
                <w:b/>
                <w:bCs/>
                <w:sz w:val="24"/>
              </w:rPr>
              <w:t>土地类别</w:t>
            </w:r>
          </w:p>
        </w:tc>
        <w:tc>
          <w:tcPr>
            <w:tcW w:w="938" w:type="dxa"/>
            <w:vMerge w:val="restart"/>
            <w:vAlign w:val="center"/>
          </w:tcPr>
          <w:p>
            <w:pPr>
              <w:spacing w:line="560" w:lineRule="exact"/>
              <w:jc w:val="center"/>
              <w:rPr>
                <w:rFonts w:eastAsia="仿宋_GB2312"/>
                <w:b/>
                <w:bCs/>
                <w:sz w:val="24"/>
              </w:rPr>
            </w:pPr>
            <w:r>
              <w:rPr>
                <w:rFonts w:hint="eastAsia" w:eastAsia="仿宋_GB2312"/>
                <w:b/>
                <w:bCs/>
                <w:sz w:val="24"/>
              </w:rPr>
              <w:t>面积</w:t>
            </w:r>
          </w:p>
        </w:tc>
        <w:tc>
          <w:tcPr>
            <w:tcW w:w="2116" w:type="dxa"/>
            <w:gridSpan w:val="2"/>
            <w:vAlign w:val="center"/>
          </w:tcPr>
          <w:p>
            <w:pPr>
              <w:spacing w:line="560" w:lineRule="exact"/>
              <w:jc w:val="center"/>
              <w:rPr>
                <w:rFonts w:eastAsia="仿宋_GB2312"/>
                <w:b/>
                <w:bCs/>
                <w:sz w:val="24"/>
              </w:rPr>
            </w:pPr>
            <w:r>
              <w:rPr>
                <w:rFonts w:hint="eastAsia" w:eastAsia="仿宋_GB2312"/>
                <w:b/>
                <w:bCs/>
                <w:sz w:val="24"/>
              </w:rPr>
              <w:t>土地补偿费</w:t>
            </w:r>
          </w:p>
        </w:tc>
        <w:tc>
          <w:tcPr>
            <w:tcW w:w="2116" w:type="dxa"/>
            <w:gridSpan w:val="2"/>
            <w:vAlign w:val="center"/>
          </w:tcPr>
          <w:p>
            <w:pPr>
              <w:spacing w:line="560" w:lineRule="exact"/>
              <w:jc w:val="center"/>
              <w:rPr>
                <w:rFonts w:eastAsia="仿宋_GB2312"/>
                <w:b/>
                <w:bCs/>
                <w:sz w:val="24"/>
              </w:rPr>
            </w:pPr>
            <w:r>
              <w:rPr>
                <w:rFonts w:hint="eastAsia" w:eastAsia="仿宋_GB2312"/>
                <w:b/>
                <w:bCs/>
                <w:sz w:val="24"/>
              </w:rPr>
              <w:t>安置补偿费</w:t>
            </w:r>
          </w:p>
        </w:tc>
        <w:tc>
          <w:tcPr>
            <w:tcW w:w="1178" w:type="dxa"/>
            <w:vMerge w:val="restart"/>
            <w:vAlign w:val="center"/>
          </w:tcPr>
          <w:p>
            <w:pPr>
              <w:spacing w:line="560" w:lineRule="exact"/>
              <w:jc w:val="center"/>
              <w:rPr>
                <w:rFonts w:eastAsia="仿宋_GB2312"/>
                <w:b/>
                <w:bCs/>
                <w:sz w:val="24"/>
              </w:rPr>
            </w:pPr>
            <w:r>
              <w:rPr>
                <w:rFonts w:hint="eastAsia" w:eastAsia="仿宋_GB2312"/>
                <w:b/>
                <w:bCs/>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93" w:type="dxa"/>
            <w:vMerge w:val="continue"/>
            <w:vAlign w:val="center"/>
          </w:tcPr>
          <w:p>
            <w:pPr>
              <w:spacing w:line="560" w:lineRule="exact"/>
              <w:jc w:val="center"/>
              <w:rPr>
                <w:rFonts w:eastAsia="仿宋_GB2312"/>
                <w:b/>
                <w:bCs/>
                <w:sz w:val="24"/>
              </w:rPr>
            </w:pPr>
          </w:p>
        </w:tc>
        <w:tc>
          <w:tcPr>
            <w:tcW w:w="680" w:type="dxa"/>
            <w:vMerge w:val="continue"/>
            <w:vAlign w:val="center"/>
          </w:tcPr>
          <w:p>
            <w:pPr>
              <w:spacing w:line="560" w:lineRule="exact"/>
              <w:jc w:val="center"/>
              <w:rPr>
                <w:rFonts w:eastAsia="仿宋_GB2312"/>
                <w:b/>
                <w:bCs/>
                <w:sz w:val="24"/>
              </w:rPr>
            </w:pPr>
          </w:p>
        </w:tc>
        <w:tc>
          <w:tcPr>
            <w:tcW w:w="938" w:type="dxa"/>
            <w:vMerge w:val="continue"/>
            <w:vAlign w:val="center"/>
          </w:tcPr>
          <w:p>
            <w:pPr>
              <w:spacing w:line="560" w:lineRule="exact"/>
              <w:jc w:val="center"/>
              <w:rPr>
                <w:rFonts w:eastAsia="仿宋_GB2312"/>
                <w:b/>
                <w:bCs/>
                <w:sz w:val="24"/>
              </w:rPr>
            </w:pPr>
          </w:p>
        </w:tc>
        <w:tc>
          <w:tcPr>
            <w:tcW w:w="938" w:type="dxa"/>
            <w:vAlign w:val="center"/>
          </w:tcPr>
          <w:p>
            <w:pPr>
              <w:spacing w:line="560" w:lineRule="exact"/>
              <w:jc w:val="center"/>
              <w:rPr>
                <w:rFonts w:eastAsia="仿宋_GB2312"/>
                <w:b/>
                <w:bCs/>
                <w:sz w:val="24"/>
              </w:rPr>
            </w:pPr>
            <w:r>
              <w:rPr>
                <w:rFonts w:hint="eastAsia" w:eastAsia="仿宋_GB2312"/>
                <w:b/>
                <w:bCs/>
                <w:sz w:val="24"/>
              </w:rPr>
              <w:t>补偿</w:t>
            </w:r>
            <w:bookmarkStart w:id="0" w:name="_GoBack"/>
            <w:bookmarkEnd w:id="0"/>
          </w:p>
          <w:p>
            <w:pPr>
              <w:spacing w:line="560" w:lineRule="exact"/>
              <w:jc w:val="center"/>
              <w:rPr>
                <w:rFonts w:eastAsia="仿宋_GB2312"/>
                <w:b/>
                <w:bCs/>
                <w:sz w:val="24"/>
              </w:rPr>
            </w:pPr>
            <w:r>
              <w:rPr>
                <w:rFonts w:hint="eastAsia" w:eastAsia="仿宋_GB2312"/>
                <w:b/>
                <w:bCs/>
                <w:sz w:val="24"/>
              </w:rPr>
              <w:t>标准</w:t>
            </w:r>
          </w:p>
        </w:tc>
        <w:tc>
          <w:tcPr>
            <w:tcW w:w="1178"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938"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标准</w:t>
            </w:r>
          </w:p>
        </w:tc>
        <w:tc>
          <w:tcPr>
            <w:tcW w:w="1178" w:type="dxa"/>
            <w:vAlign w:val="center"/>
          </w:tcPr>
          <w:p>
            <w:pPr>
              <w:spacing w:line="560" w:lineRule="exact"/>
              <w:jc w:val="center"/>
              <w:rPr>
                <w:rFonts w:eastAsia="仿宋_GB2312"/>
                <w:b/>
                <w:bCs/>
                <w:sz w:val="24"/>
              </w:rPr>
            </w:pPr>
            <w:r>
              <w:rPr>
                <w:rFonts w:hint="eastAsia" w:eastAsia="仿宋_GB2312"/>
                <w:b/>
                <w:bCs/>
                <w:sz w:val="24"/>
              </w:rPr>
              <w:t>补偿</w:t>
            </w:r>
          </w:p>
          <w:p>
            <w:pPr>
              <w:spacing w:line="560" w:lineRule="exact"/>
              <w:jc w:val="center"/>
              <w:rPr>
                <w:rFonts w:eastAsia="仿宋_GB2312"/>
                <w:b/>
                <w:bCs/>
                <w:sz w:val="24"/>
              </w:rPr>
            </w:pPr>
            <w:r>
              <w:rPr>
                <w:rFonts w:hint="eastAsia" w:eastAsia="仿宋_GB2312"/>
                <w:b/>
                <w:bCs/>
                <w:sz w:val="24"/>
              </w:rPr>
              <w:t>金额</w:t>
            </w:r>
          </w:p>
        </w:tc>
        <w:tc>
          <w:tcPr>
            <w:tcW w:w="1178" w:type="dxa"/>
            <w:vMerge w:val="continue"/>
            <w:vAlign w:val="center"/>
          </w:tcPr>
          <w:p>
            <w:pPr>
              <w:spacing w:line="560" w:lineRule="exact"/>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493"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大岗镇新联二股份合作</w:t>
            </w:r>
            <w:r>
              <w:rPr>
                <w:rFonts w:hint="eastAsia" w:ascii="仿宋_GB2312" w:hAnsi="仿宋_GB2312" w:eastAsia="仿宋_GB2312" w:cs="仿宋_GB2312"/>
                <w:sz w:val="24"/>
              </w:rPr>
              <w:t>经济</w:t>
            </w:r>
            <w:r>
              <w:rPr>
                <w:rFonts w:hint="eastAsia" w:ascii="仿宋_GB2312" w:hAnsi="仿宋_GB2312" w:eastAsia="仿宋_GB2312" w:cs="仿宋_GB2312"/>
                <w:sz w:val="24"/>
                <w:lang w:val="en-US" w:eastAsia="zh-CN"/>
              </w:rPr>
              <w:t>联合</w:t>
            </w:r>
            <w:r>
              <w:rPr>
                <w:rFonts w:hint="eastAsia" w:ascii="仿宋_GB2312" w:hAnsi="仿宋_GB2312" w:eastAsia="仿宋_GB2312" w:cs="仿宋_GB2312"/>
                <w:sz w:val="24"/>
              </w:rPr>
              <w:t>社</w:t>
            </w:r>
          </w:p>
        </w:tc>
        <w:tc>
          <w:tcPr>
            <w:tcW w:w="680"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农用地</w:t>
            </w:r>
          </w:p>
        </w:tc>
        <w:tc>
          <w:tcPr>
            <w:tcW w:w="938"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0.5993</w:t>
            </w:r>
          </w:p>
        </w:tc>
        <w:tc>
          <w:tcPr>
            <w:tcW w:w="938"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197.25</w:t>
            </w:r>
          </w:p>
        </w:tc>
        <w:tc>
          <w:tcPr>
            <w:tcW w:w="1178"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118.2119</w:t>
            </w:r>
          </w:p>
        </w:tc>
        <w:tc>
          <w:tcPr>
            <w:tcW w:w="938"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197.25</w:t>
            </w:r>
          </w:p>
        </w:tc>
        <w:tc>
          <w:tcPr>
            <w:tcW w:w="1178" w:type="dxa"/>
            <w:vAlign w:val="center"/>
          </w:tcPr>
          <w:p>
            <w:pPr>
              <w:spacing w:line="400" w:lineRule="exact"/>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118.2119</w:t>
            </w:r>
          </w:p>
        </w:tc>
        <w:tc>
          <w:tcPr>
            <w:tcW w:w="1178"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236.4238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7343" w:type="dxa"/>
            <w:gridSpan w:val="7"/>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土地补偿费和安置补偿费合计</w:t>
            </w:r>
          </w:p>
        </w:tc>
        <w:tc>
          <w:tcPr>
            <w:tcW w:w="1178" w:type="dxa"/>
            <w:vAlign w:val="center"/>
          </w:tcPr>
          <w:p>
            <w:pPr>
              <w:spacing w:line="4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236.4238</w:t>
            </w:r>
          </w:p>
        </w:tc>
      </w:tr>
    </w:tbl>
    <w:p>
      <w:pPr>
        <w:spacing w:beforeLines="5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涉及房屋拆迁的，按照广州市南沙区人民政府有关规定的标准进行补偿安置。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三、青苗补偿费及地上附着物补偿费。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征地范围内的青苗补偿费及地上附着物补偿费等其他补偿费用按政府有关规定进行补偿。</w:t>
      </w:r>
    </w:p>
    <w:p>
      <w:pPr>
        <w:spacing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四、安置措施情况</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为妥善安置被征地农民，切实解决被征地农民的生产生活出路，在保证货币安置落实的同时，按实际征地面积</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%计算留用地给被征地村集体，留用地兑现方式为</w:t>
      </w:r>
      <w:r>
        <w:rPr>
          <w:rFonts w:hint="eastAsia" w:ascii="仿宋_GB2312" w:hAnsi="仿宋_GB2312" w:eastAsia="仿宋_GB2312" w:cs="仿宋_GB2312"/>
          <w:sz w:val="32"/>
          <w:szCs w:val="32"/>
          <w:lang w:val="en-US" w:eastAsia="zh-CN"/>
        </w:rPr>
        <w:t>实地留地</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trike/>
          <w:color w:val="000000"/>
          <w:sz w:val="32"/>
          <w:szCs w:val="32"/>
        </w:rPr>
      </w:pPr>
    </w:p>
    <w:p>
      <w:pPr>
        <w:spacing w:line="560" w:lineRule="exact"/>
        <w:ind w:firstLine="640"/>
        <w:rPr>
          <w:rFonts w:hint="eastAsia" w:ascii="仿宋_GB2312" w:hAnsi="仿宋_GB2312" w:eastAsia="仿宋_GB2312" w:cs="仿宋_GB2312"/>
          <w:sz w:val="32"/>
          <w:szCs w:val="32"/>
        </w:rPr>
      </w:pPr>
    </w:p>
    <w:p>
      <w:pPr>
        <w:spacing w:line="56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广州市规划和自然资源局南沙区分局</w:t>
      </w:r>
    </w:p>
    <w:p>
      <w:pPr>
        <w:spacing w:line="560" w:lineRule="exact"/>
        <w:ind w:firstLine="64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 xml:space="preserve"> 2021年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ABF4B4"/>
    <w:multiLevelType w:val="singleLevel"/>
    <w:tmpl w:val="FCABF4B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M2YxMTQwZGNiYTE3ZmZiYjg0N2ViNTVjNTY1MmQifQ=="/>
  </w:docVars>
  <w:rsids>
    <w:rsidRoot w:val="210150B2"/>
    <w:rsid w:val="00080097"/>
    <w:rsid w:val="063B63D8"/>
    <w:rsid w:val="0A4C79D1"/>
    <w:rsid w:val="130A3A05"/>
    <w:rsid w:val="1B4F011F"/>
    <w:rsid w:val="1EE515F2"/>
    <w:rsid w:val="1F56012C"/>
    <w:rsid w:val="1FE82ACD"/>
    <w:rsid w:val="210150B2"/>
    <w:rsid w:val="292E6CF0"/>
    <w:rsid w:val="2FF535DE"/>
    <w:rsid w:val="4E63115A"/>
    <w:rsid w:val="4EB023C9"/>
    <w:rsid w:val="625202CE"/>
    <w:rsid w:val="6AD771A6"/>
    <w:rsid w:val="6BD3085B"/>
    <w:rsid w:val="72251067"/>
    <w:rsid w:val="766F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516</Words>
  <Characters>596</Characters>
  <Lines>0</Lines>
  <Paragraphs>0</Paragraphs>
  <TotalTime>57</TotalTime>
  <ScaleCrop>false</ScaleCrop>
  <LinksUpToDate>false</LinksUpToDate>
  <CharactersWithSpaces>617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2021-04-14T08:32:00Z</dcterms:created>
  <dc:creator>NTKO</dc:creator>
  <cp:lastModifiedBy>习惯想你@依赖你</cp:lastModifiedBy>
  <cp:lastPrinted>2021-05-18T07:11:00Z</cp:lastPrinted>
  <dcterms:modified xsi:type="dcterms:W3CDTF">2022-11-17T08:56:48Z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2A3E9A62087448F2B1B8053CFD6ACB6D</vt:lpwstr>
  </property>
</Properties>
</file>