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广州市花都区2022年度第四十九批次城镇建设用地（芙蓉大道东二地块〔二期</w:t>
      </w:r>
      <w:r>
        <w:rPr>
          <w:rFonts w:hint="default" w:ascii="Times New Roman" w:hAnsi="Times New Roman" w:eastAsia="方正小标宋简体" w:cs="Times New Roman"/>
          <w:sz w:val="44"/>
          <w:szCs w:val="44"/>
          <w:lang w:val="en-US" w:eastAsia="zh-CN"/>
        </w:rPr>
        <w:t>〕</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val="en-US" w:eastAsia="zh-CN"/>
        </w:rPr>
        <w:t>项</w:t>
      </w:r>
      <w:r>
        <w:rPr>
          <w:rFonts w:hint="default" w:ascii="Times New Roman" w:hAnsi="Times New Roman" w:eastAsia="方正小标宋简体" w:cs="Times New Roman"/>
          <w:sz w:val="44"/>
          <w:szCs w:val="44"/>
        </w:rPr>
        <w:t>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ascii="Times New Roman" w:hAnsi="Times New Roman" w:eastAsia="仿宋_GB2312" w:cs="Times New Roman"/>
          <w:sz w:val="32"/>
          <w:lang w:val="en-US" w:eastAsia="zh-CN"/>
        </w:rPr>
        <w:t>花城</w:t>
      </w:r>
      <w:r>
        <w:rPr>
          <w:rFonts w:hint="default" w:ascii="Times New Roman" w:hAnsi="Times New Roman" w:eastAsia="仿宋_GB2312" w:cs="Times New Roman"/>
          <w:sz w:val="32"/>
        </w:rPr>
        <w:t>街</w:t>
      </w:r>
      <w:r>
        <w:rPr>
          <w:rFonts w:hint="default" w:ascii="Times New Roman" w:hAnsi="Times New Roman" w:eastAsia="仿宋_GB2312" w:cs="Times New Roman"/>
          <w:sz w:val="32"/>
        </w:rPr>
        <w:t>建设规划，完善城市功能，改善城市环境，促进经济、文化发展。我区拟征收广州市花都区</w:t>
      </w:r>
      <w:r>
        <w:rPr>
          <w:rFonts w:hint="eastAsia" w:ascii="Times New Roman" w:hAnsi="Times New Roman" w:eastAsia="仿宋_GB2312" w:cs="Times New Roman"/>
          <w:sz w:val="32"/>
          <w:lang w:val="en-US" w:eastAsia="zh-CN"/>
        </w:rPr>
        <w:t>花城街东边</w:t>
      </w:r>
      <w:r>
        <w:rPr>
          <w:rFonts w:hint="default" w:ascii="Times New Roman" w:hAnsi="Times New Roman" w:eastAsia="仿宋_GB2312" w:cs="Times New Roman"/>
          <w:sz w:val="32"/>
        </w:rPr>
        <w:t>村经济联合社</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西成</w:t>
      </w:r>
      <w:r>
        <w:rPr>
          <w:rFonts w:hint="eastAsia" w:ascii="Times New Roman" w:hAnsi="Times New Roman" w:eastAsia="仿宋_GB2312" w:cs="Times New Roman"/>
          <w:sz w:val="32"/>
          <w:lang w:val="en-US" w:eastAsia="zh-CN"/>
        </w:rPr>
        <w:t>经济合作社</w:t>
      </w:r>
      <w:r>
        <w:rPr>
          <w:rFonts w:hint="default"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1.6509</w:t>
      </w:r>
      <w:r>
        <w:rPr>
          <w:rFonts w:hint="default" w:ascii="Times New Roman" w:hAnsi="Times New Roman" w:eastAsia="仿宋_GB2312" w:cs="Times New Roman"/>
          <w:sz w:val="32"/>
        </w:rPr>
        <w:t>公顷</w:t>
      </w:r>
      <w:r>
        <w:rPr>
          <w:rFonts w:hint="default" w:ascii="Times New Roman" w:hAnsi="Times New Roman" w:eastAsia="仿宋_GB2312" w:cs="Times New Roman"/>
          <w:sz w:val="32"/>
        </w:rPr>
        <w:t>。根据《中华人民共和国土地管理法》第二条、第四十五条、第四十七条有关规定精神、</w:t>
      </w:r>
      <w:r>
        <w:rPr>
          <w:rFonts w:hint="eastAsia" w:ascii="Times New Roman" w:hAnsi="Times New Roman" w:eastAsia="仿宋_GB2312" w:cs="Times New Roman"/>
          <w:sz w:val="32"/>
          <w:lang w:val="en-US" w:eastAsia="zh-CN"/>
        </w:rPr>
        <w:t>《广东省土地管理条例》第三十条等规定</w:t>
      </w:r>
      <w:r>
        <w:rPr>
          <w:rFonts w:hint="default" w:ascii="Times New Roman" w:hAnsi="Times New Roman" w:eastAsia="仿宋_GB2312" w:cs="Times New Roman"/>
          <w:sz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征收</w:t>
      </w:r>
      <w:r>
        <w:rPr>
          <w:rFonts w:hint="eastAsia" w:ascii="Times New Roman" w:hAnsi="Times New Roman" w:eastAsia="仿宋_GB2312" w:cs="Times New Roman"/>
          <w:sz w:val="32"/>
          <w:lang w:val="en-US" w:eastAsia="zh-CN"/>
        </w:rPr>
        <w:t>花城街东边</w:t>
      </w:r>
      <w:r>
        <w:rPr>
          <w:rFonts w:hint="default" w:ascii="Times New Roman" w:hAnsi="Times New Roman" w:eastAsia="仿宋_GB2312" w:cs="Times New Roman"/>
          <w:sz w:val="32"/>
        </w:rPr>
        <w:t>村</w:t>
      </w:r>
      <w:r>
        <w:rPr>
          <w:rFonts w:hint="default" w:ascii="Times New Roman" w:hAnsi="Times New Roman" w:eastAsia="仿宋_GB2312" w:cs="Times New Roman"/>
          <w:sz w:val="32"/>
        </w:rPr>
        <w:t>集体土地总面积</w:t>
      </w:r>
      <w:r>
        <w:rPr>
          <w:rFonts w:hint="eastAsia" w:ascii="Times New Roman" w:hAnsi="Times New Roman" w:eastAsia="仿宋_GB2312" w:cs="Times New Roman"/>
          <w:sz w:val="32"/>
          <w:lang w:val="en-US" w:eastAsia="zh-CN"/>
        </w:rPr>
        <w:t>1.6509</w:t>
      </w:r>
      <w:r>
        <w:rPr>
          <w:rFonts w:hint="default" w:ascii="Times New Roman" w:hAnsi="Times New Roman" w:eastAsia="仿宋_GB2312" w:cs="Times New Roman"/>
          <w:sz w:val="32"/>
        </w:rPr>
        <w:t>公顷，</w:t>
      </w:r>
      <w:r>
        <w:rPr>
          <w:rFonts w:hint="eastAsia" w:ascii="Times New Roman" w:hAnsi="Times New Roman" w:eastAsia="仿宋_GB2312" w:cs="Times New Roman"/>
          <w:sz w:val="32"/>
          <w:lang w:eastAsia="zh-CN"/>
        </w:rPr>
        <w:t>其中农用地</w:t>
      </w:r>
      <w:r>
        <w:rPr>
          <w:rFonts w:hint="eastAsia" w:ascii="Times New Roman" w:hAnsi="Times New Roman" w:eastAsia="仿宋_GB2312" w:cs="Times New Roman"/>
          <w:sz w:val="32"/>
          <w:lang w:val="en-US" w:eastAsia="zh-CN"/>
        </w:rPr>
        <w:t>0.1759公顷（耕地0.0035公顷、园地0.0045公顷、林地0.0098公顷、草地0.0006公顷、其他农用地0.1575公顷）、</w:t>
      </w:r>
      <w:r>
        <w:rPr>
          <w:rFonts w:hint="default" w:ascii="Times New Roman" w:hAnsi="Times New Roman" w:eastAsia="仿宋_GB2312" w:cs="Times New Roman"/>
          <w:sz w:val="32"/>
        </w:rPr>
        <w:t>建设用地</w:t>
      </w:r>
      <w:r>
        <w:rPr>
          <w:rFonts w:hint="eastAsia" w:ascii="Times New Roman" w:hAnsi="Times New Roman" w:eastAsia="仿宋_GB2312" w:cs="Times New Roman"/>
          <w:sz w:val="32"/>
          <w:lang w:val="en-US" w:eastAsia="zh-CN"/>
        </w:rPr>
        <w:t>1.4750公顷</w:t>
      </w:r>
      <w:r>
        <w:rPr>
          <w:rFonts w:hint="default" w:ascii="Times New Roman" w:hAnsi="Times New Roman" w:eastAsia="仿宋_GB2312" w:cs="Times New Roman"/>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eastAsia" w:eastAsia="仿宋_GB2312" w:cs="Times New Roman"/>
          <w:sz w:val="32"/>
          <w:lang w:val="en-US" w:eastAsia="zh-CN"/>
        </w:rPr>
        <w:t xml:space="preserve">    </w:t>
      </w: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土地补偿费与安置补助费一览表（一）</w:t>
      </w:r>
    </w:p>
    <w:p>
      <w:pPr>
        <w:spacing w:line="620" w:lineRule="exact"/>
        <w:jc w:val="right"/>
        <w:rPr>
          <w:rFonts w:hint="default" w:ascii="Times New Roman" w:hAnsi="Times New Roman" w:eastAsia="仿宋_GB2312" w:cs="Times New Roman"/>
          <w:sz w:val="24"/>
        </w:rPr>
      </w:pPr>
    </w:p>
    <w:p>
      <w:pPr>
        <w:spacing w:line="620" w:lineRule="exact"/>
        <w:jc w:val="right"/>
        <w:rPr>
          <w:rFonts w:hint="default" w:ascii="Times New Roman" w:hAnsi="Times New Roman" w:eastAsia="仿宋_GB2312" w:cs="Times New Roman"/>
          <w:sz w:val="24"/>
        </w:rPr>
      </w:pP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ascii="Times New Roman" w:hAnsi="Times New Roman" w:eastAsia="仿宋_GB2312" w:cs="Times New Roman"/>
                <w:sz w:val="24"/>
                <w:lang w:val="en-US" w:eastAsia="zh-CN"/>
              </w:rPr>
              <w:t>花城街</w:t>
            </w:r>
            <w:r>
              <w:rPr>
                <w:rFonts w:hint="default" w:ascii="Times New Roman" w:hAnsi="Times New Roman" w:eastAsia="仿宋_GB2312" w:cs="Times New Roman"/>
                <w:sz w:val="24"/>
              </w:rPr>
              <w:t>街</w:t>
            </w:r>
            <w:r>
              <w:rPr>
                <w:rFonts w:hint="eastAsia" w:ascii="Times New Roman" w:hAnsi="Times New Roman" w:eastAsia="仿宋_GB2312" w:cs="Times New Roman"/>
                <w:sz w:val="24"/>
                <w:lang w:val="en-US" w:eastAsia="zh-CN"/>
              </w:rPr>
              <w:t>东边</w:t>
            </w:r>
            <w:r>
              <w:rPr>
                <w:rFonts w:hint="default" w:ascii="Times New Roman" w:hAnsi="Times New Roman" w:eastAsia="仿宋_GB2312" w:cs="Times New Roman"/>
                <w:sz w:val="24"/>
              </w:rPr>
              <w:t>村经济联合社</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rPr>
              <w:t>西成</w:t>
            </w:r>
            <w:r>
              <w:rPr>
                <w:rFonts w:hint="eastAsia" w:ascii="Times New Roman" w:hAnsi="Times New Roman" w:eastAsia="仿宋_GB2312" w:cs="Times New Roman"/>
                <w:sz w:val="24"/>
                <w:lang w:val="en-US" w:eastAsia="zh-CN"/>
              </w:rPr>
              <w:t>经济合作社</w:t>
            </w:r>
            <w:r>
              <w:rPr>
                <w:rFonts w:hint="default" w:ascii="Times New Roman" w:hAnsi="Times New Roman" w:eastAsia="仿宋_GB2312" w:cs="Times New Roman"/>
                <w:sz w:val="24"/>
              </w:rPr>
              <w:t xml:space="preserve">； </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0.0035</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.4200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.4200</w:t>
            </w:r>
          </w:p>
        </w:tc>
        <w:tc>
          <w:tcPr>
            <w:tcW w:w="1409" w:type="dxa"/>
            <w:vAlign w:val="center"/>
          </w:tcPr>
          <w:p>
            <w:pPr>
              <w:jc w:val="center"/>
              <w:rPr>
                <w:rFonts w:hint="default" w:ascii="Times New Roman" w:hAnsi="Times New Roman" w:cs="Times New Roman" w:eastAsiaTheme="minorEastAsia"/>
                <w:b/>
                <w:bCs/>
                <w:szCs w:val="21"/>
                <w:lang w:val="en-US" w:eastAsia="zh-CN"/>
              </w:rPr>
            </w:pPr>
            <w:r>
              <w:rPr>
                <w:rFonts w:hint="default" w:ascii="Times New Roman" w:hAnsi="Times New Roman" w:cs="Times New Roman" w:eastAsiaTheme="minorEastAsia"/>
                <w:b/>
                <w:bCs/>
                <w:szCs w:val="21"/>
              </w:rPr>
              <w:t>0</w:t>
            </w:r>
            <w:r>
              <w:rPr>
                <w:rFonts w:hint="eastAsia" w:cs="Times New Roman" w:eastAsiaTheme="minorEastAsia"/>
                <w:b/>
                <w:bCs/>
                <w:szCs w:val="21"/>
                <w:lang w:val="en-US" w:eastAsia="zh-CN"/>
              </w:rPr>
              <w:t>.8400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992"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1163"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kern w:val="2"/>
                <w:sz w:val="21"/>
                <w:szCs w:val="21"/>
                <w:lang w:val="en-US" w:eastAsia="zh-CN" w:bidi="ar-SA"/>
              </w:rPr>
            </w:pPr>
          </w:p>
          <w:p>
            <w:pPr>
              <w:jc w:val="center"/>
              <w:rPr>
                <w:rFonts w:hint="default" w:ascii="Times New Roman" w:hAnsi="Times New Roman" w:cs="Times New Roman" w:eastAsiaTheme="minorEastAsia"/>
                <w:kern w:val="2"/>
                <w:sz w:val="21"/>
                <w:szCs w:val="21"/>
                <w:lang w:val="en-US" w:eastAsia="zh-CN" w:bidi="ar-SA"/>
              </w:rPr>
            </w:pPr>
          </w:p>
        </w:tc>
        <w:tc>
          <w:tcPr>
            <w:tcW w:w="99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kern w:val="2"/>
                <w:sz w:val="21"/>
                <w:szCs w:val="21"/>
                <w:lang w:val="en-US" w:eastAsia="zh-CN" w:bidi="ar-SA"/>
              </w:rPr>
            </w:pPr>
          </w:p>
          <w:p>
            <w:pPr>
              <w:jc w:val="center"/>
              <w:rPr>
                <w:rFonts w:hint="default" w:ascii="Times New Roman" w:hAnsi="Times New Roman" w:cs="Times New Roman" w:eastAsiaTheme="minorEastAsia"/>
                <w:kern w:val="2"/>
                <w:sz w:val="21"/>
                <w:szCs w:val="21"/>
                <w:lang w:val="en-US" w:eastAsia="zh-CN" w:bidi="ar-SA"/>
              </w:rPr>
            </w:pPr>
          </w:p>
        </w:tc>
        <w:tc>
          <w:tcPr>
            <w:tcW w:w="1103"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lang w:eastAsia="zh-CN"/>
              </w:rPr>
            </w:pPr>
          </w:p>
          <w:p>
            <w:pPr>
              <w:jc w:val="center"/>
              <w:rPr>
                <w:rFonts w:hint="default" w:ascii="Times New Roman" w:hAnsi="Times New Roman" w:cs="Times New Roman" w:eastAsiaTheme="minorEastAsia"/>
                <w:szCs w:val="21"/>
                <w:lang w:eastAsia="zh-CN"/>
              </w:rPr>
            </w:pPr>
          </w:p>
        </w:tc>
        <w:tc>
          <w:tcPr>
            <w:tcW w:w="140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b/>
                <w:bCs/>
                <w:szCs w:val="21"/>
                <w:lang w:eastAsia="zh-CN"/>
              </w:rPr>
            </w:pPr>
          </w:p>
          <w:p>
            <w:pPr>
              <w:jc w:val="center"/>
              <w:rPr>
                <w:rFonts w:hint="default" w:ascii="Times New Roman" w:hAnsi="Times New Roman" w:cs="Times New Roman" w:eastAsiaTheme="minorEastAsia"/>
                <w:b/>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992"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1163" w:type="dxa"/>
            <w:vAlign w:val="center"/>
            <mc:AlternateContent>
              <mc:Choice Requires="wpsCustomData">
                <wpsCustomData:diagonals>
                  <wpsCustomData:diagonal from="108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kern w:val="2"/>
                <w:sz w:val="21"/>
                <w:szCs w:val="21"/>
                <w:lang w:val="en-US" w:eastAsia="zh-CN" w:bidi="ar-SA"/>
              </w:rPr>
            </w:pPr>
          </w:p>
          <w:p>
            <w:pPr>
              <w:jc w:val="center"/>
              <w:rPr>
                <w:rFonts w:hint="default" w:ascii="Times New Roman" w:hAnsi="Times New Roman" w:cs="Times New Roman" w:eastAsiaTheme="minorEastAsia"/>
                <w:kern w:val="2"/>
                <w:sz w:val="21"/>
                <w:szCs w:val="21"/>
                <w:lang w:val="en-US" w:eastAsia="zh-CN" w:bidi="ar-SA"/>
              </w:rPr>
            </w:pPr>
          </w:p>
        </w:tc>
        <w:tc>
          <w:tcPr>
            <w:tcW w:w="99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kern w:val="2"/>
                <w:sz w:val="21"/>
                <w:szCs w:val="21"/>
                <w:lang w:val="en-US" w:eastAsia="zh-CN" w:bidi="ar-SA"/>
              </w:rPr>
            </w:pPr>
          </w:p>
          <w:p>
            <w:pPr>
              <w:jc w:val="center"/>
              <w:rPr>
                <w:rFonts w:hint="default" w:ascii="Times New Roman" w:hAnsi="Times New Roman" w:cs="Times New Roman" w:eastAsiaTheme="minorEastAsia"/>
                <w:kern w:val="2"/>
                <w:sz w:val="21"/>
                <w:szCs w:val="21"/>
                <w:lang w:val="en-US" w:eastAsia="zh-CN" w:bidi="ar-SA"/>
              </w:rPr>
            </w:pPr>
          </w:p>
        </w:tc>
        <w:tc>
          <w:tcPr>
            <w:tcW w:w="1103"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140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b/>
                <w:bCs/>
                <w:szCs w:val="21"/>
              </w:rPr>
            </w:pPr>
          </w:p>
          <w:p>
            <w:pPr>
              <w:jc w:val="center"/>
              <w:rPr>
                <w:rFonts w:hint="default" w:ascii="Times New Roman" w:hAnsi="Times New Roman" w:cs="Times New Roman" w:eastAsia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0.0045</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r>
              <w:rPr>
                <w:rFonts w:hint="eastAsia" w:cs="Times New Roman" w:eastAsiaTheme="minorEastAsia"/>
                <w:szCs w:val="21"/>
                <w:lang w:val="en-US" w:eastAsia="zh-CN"/>
              </w:rPr>
              <w:t>.5400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r>
              <w:rPr>
                <w:rFonts w:hint="eastAsia" w:cs="Times New Roman" w:eastAsiaTheme="minorEastAsia"/>
                <w:szCs w:val="21"/>
                <w:lang w:val="en-US" w:eastAsia="zh-CN"/>
              </w:rPr>
              <w:t>.5400</w:t>
            </w:r>
          </w:p>
        </w:tc>
        <w:tc>
          <w:tcPr>
            <w:tcW w:w="1409" w:type="dxa"/>
            <w:vAlign w:val="center"/>
          </w:tcPr>
          <w:p>
            <w:pPr>
              <w:jc w:val="center"/>
              <w:rPr>
                <w:rFonts w:hint="default" w:ascii="Times New Roman" w:hAnsi="Times New Roman" w:cs="Times New Roman" w:eastAsiaTheme="minorEastAsia"/>
                <w:b/>
                <w:bCs/>
                <w:szCs w:val="21"/>
                <w:lang w:val="en-US" w:eastAsia="zh-CN"/>
              </w:rPr>
            </w:pPr>
            <w:r>
              <w:rPr>
                <w:rFonts w:hint="eastAsia" w:cs="Times New Roman" w:eastAsiaTheme="minorEastAsia"/>
                <w:b/>
                <w:bCs/>
                <w:szCs w:val="21"/>
                <w:lang w:val="en-US" w:eastAsia="zh-CN"/>
              </w:rPr>
              <w:t>1.0800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0.0098</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1.1760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1.1760</w:t>
            </w:r>
          </w:p>
        </w:tc>
        <w:tc>
          <w:tcPr>
            <w:tcW w:w="1409" w:type="dxa"/>
            <w:vAlign w:val="center"/>
          </w:tcPr>
          <w:p>
            <w:pPr>
              <w:jc w:val="center"/>
              <w:rPr>
                <w:rFonts w:hint="default" w:ascii="Times New Roman" w:hAnsi="Times New Roman" w:cs="Times New Roman" w:eastAsiaTheme="minorEastAsia"/>
                <w:b/>
                <w:bCs/>
                <w:szCs w:val="21"/>
                <w:lang w:val="en-US" w:eastAsia="zh-CN"/>
              </w:rPr>
            </w:pPr>
            <w:r>
              <w:rPr>
                <w:rFonts w:hint="eastAsia" w:cs="Times New Roman" w:eastAsiaTheme="minorEastAsia"/>
                <w:b/>
                <w:bCs/>
                <w:szCs w:val="21"/>
                <w:lang w:val="en-US" w:eastAsia="zh-CN"/>
              </w:rPr>
              <w:t>2.3520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草地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0.0006</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0.0720</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tcBorders>
              <w:bottom w:val="single" w:color="auto" w:sz="4" w:space="0"/>
            </w:tcBorders>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0.0720</w:t>
            </w:r>
          </w:p>
        </w:tc>
        <w:tc>
          <w:tcPr>
            <w:tcW w:w="1409" w:type="dxa"/>
            <w:vAlign w:val="center"/>
          </w:tcPr>
          <w:p>
            <w:pPr>
              <w:jc w:val="center"/>
              <w:rPr>
                <w:rFonts w:hint="default" w:cs="Times New Roman" w:eastAsiaTheme="minorEastAsia"/>
                <w:b/>
                <w:bCs/>
                <w:szCs w:val="21"/>
                <w:lang w:val="en-US" w:eastAsia="zh-CN"/>
              </w:rPr>
            </w:pPr>
            <w:r>
              <w:rPr>
                <w:rFonts w:hint="eastAsia" w:cs="Times New Roman" w:eastAsiaTheme="minorEastAsia"/>
                <w:b/>
                <w:bCs/>
                <w:szCs w:val="21"/>
                <w:lang w:val="en-US" w:eastAsia="zh-CN"/>
              </w:rPr>
              <w:t>0.1440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r>
              <w:rPr>
                <w:rFonts w:hint="eastAsia" w:cs="Times New Roman" w:eastAsiaTheme="minorEastAsia"/>
                <w:szCs w:val="21"/>
                <w:lang w:val="en-US" w:eastAsia="zh-CN"/>
              </w:rPr>
              <w:t>.1575</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18.9000</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18.9000</w:t>
            </w:r>
          </w:p>
        </w:tc>
        <w:tc>
          <w:tcPr>
            <w:tcW w:w="1409" w:type="dxa"/>
            <w:vAlign w:val="center"/>
          </w:tcPr>
          <w:p>
            <w:pPr>
              <w:jc w:val="center"/>
              <w:rPr>
                <w:rFonts w:hint="default" w:ascii="Times New Roman" w:hAnsi="Times New Roman" w:cs="Times New Roman" w:eastAsiaTheme="minorEastAsia"/>
                <w:b/>
                <w:bCs/>
                <w:szCs w:val="21"/>
                <w:lang w:val="en-US" w:eastAsia="zh-CN"/>
              </w:rPr>
            </w:pPr>
            <w:r>
              <w:rPr>
                <w:rFonts w:hint="eastAsia" w:cs="Times New Roman" w:eastAsiaTheme="minorEastAsia"/>
                <w:b/>
                <w:bCs/>
                <w:szCs w:val="21"/>
                <w:lang w:val="en-US" w:eastAsia="zh-CN"/>
              </w:rPr>
              <w:t>37.8000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1.4750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354.0000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b/>
                <w:bCs/>
                <w:szCs w:val="21"/>
                <w:lang w:val="en-US" w:eastAsia="zh-CN"/>
              </w:rPr>
            </w:pPr>
            <w:r>
              <w:rPr>
                <w:rFonts w:hint="eastAsia" w:cs="Times New Roman" w:eastAsiaTheme="minorEastAsia"/>
                <w:b/>
                <w:bCs/>
                <w:szCs w:val="21"/>
                <w:lang w:val="en-US" w:eastAsia="zh-CN"/>
              </w:rPr>
              <w:t>354.0000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992"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rPr>
            </w:pPr>
          </w:p>
          <w:p>
            <w:pPr>
              <w:jc w:val="center"/>
              <w:rPr>
                <w:rFonts w:hint="default" w:ascii="Times New Roman" w:hAnsi="Times New Roman" w:cs="Times New Roman" w:eastAsiaTheme="minorEastAsia"/>
                <w:szCs w:val="21"/>
              </w:rPr>
            </w:pPr>
          </w:p>
        </w:tc>
        <w:tc>
          <w:tcPr>
            <w:tcW w:w="1163"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szCs w:val="21"/>
                <w:lang w:eastAsia="zh-CN"/>
              </w:rPr>
            </w:pPr>
          </w:p>
          <w:p>
            <w:pPr>
              <w:jc w:val="center"/>
              <w:rPr>
                <w:rFonts w:hint="default" w:ascii="Times New Roman" w:hAnsi="Times New Roman" w:cs="Times New Roman" w:eastAsiaTheme="minorEastAsia"/>
                <w:szCs w:val="21"/>
                <w:lang w:eastAsia="zh-CN"/>
              </w:rPr>
            </w:pP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eastAsiaTheme="minorEastAsia"/>
                <w:b/>
                <w:bCs/>
                <w:szCs w:val="21"/>
                <w:lang w:eastAsia="zh-CN"/>
              </w:rPr>
            </w:pPr>
          </w:p>
          <w:p>
            <w:pPr>
              <w:jc w:val="center"/>
              <w:rPr>
                <w:rFonts w:hint="default" w:ascii="Times New Roman" w:hAnsi="Times New Roman" w:cs="Times New Roman" w:eastAsiaTheme="minorEastAsia"/>
                <w:b/>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b/>
                <w:bCs/>
                <w:szCs w:val="21"/>
                <w:lang w:val="en-US" w:eastAsia="zh-CN"/>
              </w:rPr>
            </w:pPr>
            <w:r>
              <w:rPr>
                <w:rFonts w:hint="eastAsia" w:cs="Times New Roman" w:eastAsiaTheme="minorEastAsia"/>
                <w:b/>
                <w:bCs/>
                <w:szCs w:val="21"/>
                <w:lang w:val="en-US" w:eastAsia="zh-CN"/>
              </w:rPr>
              <w:t>396.2160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ascii="仿宋_GB2312" w:eastAsia="仿宋_GB2312"/>
          <w:sz w:val="32"/>
          <w:szCs w:val="32"/>
          <w:lang w:val="en-US" w:eastAsia="zh-CN"/>
        </w:rPr>
        <w:t>0.1651公顷</w:t>
      </w:r>
      <w:r>
        <w:rPr>
          <w:rFonts w:hint="eastAsia" w:ascii="仿宋_GB2312" w:eastAsia="仿宋_GB2312"/>
          <w:sz w:val="32"/>
          <w:szCs w:val="32"/>
        </w:rPr>
        <w:t>留用地</w:t>
      </w:r>
      <w:r>
        <w:rPr>
          <w:rFonts w:hint="eastAsia" w:ascii="仿宋_GB2312" w:eastAsia="仿宋_GB2312"/>
          <w:sz w:val="32"/>
          <w:szCs w:val="32"/>
          <w:lang w:eastAsia="zh-CN"/>
        </w:rPr>
        <w:t>，</w:t>
      </w:r>
      <w:r>
        <w:rPr>
          <w:rFonts w:hint="eastAsia" w:ascii="仿宋_GB2312" w:eastAsia="仿宋_GB2312"/>
          <w:sz w:val="32"/>
          <w:szCs w:val="32"/>
        </w:rPr>
        <w:t>兑现方式</w:t>
      </w:r>
      <w:r>
        <w:rPr>
          <w:rFonts w:hint="eastAsia" w:ascii="Times New Roman" w:hAnsi="Times New Roman" w:eastAsia="仿宋_GB2312" w:cs="Times New Roman"/>
          <w:color w:val="auto"/>
          <w:sz w:val="32"/>
          <w:szCs w:val="32"/>
          <w:highlight w:val="none"/>
          <w:lang w:val="en-US" w:eastAsia="zh-CN"/>
        </w:rPr>
        <w:t>为实物留地，</w:t>
      </w:r>
      <w:r>
        <w:rPr>
          <w:rFonts w:hint="default" w:ascii="Times New Roman" w:hAnsi="Times New Roman" w:eastAsia="仿宋_GB2312" w:cs="Times New Roman"/>
          <w:color w:val="auto"/>
          <w:sz w:val="32"/>
          <w:szCs w:val="32"/>
          <w:highlight w:val="none"/>
          <w:lang w:val="en-US" w:eastAsia="zh-CN"/>
        </w:rPr>
        <w:t>拟在</w:t>
      </w:r>
      <w:r>
        <w:rPr>
          <w:rFonts w:hint="eastAsia" w:ascii="Times New Roman" w:hAnsi="Times New Roman" w:eastAsia="仿宋_GB2312" w:cs="Times New Roman"/>
          <w:color w:val="auto"/>
          <w:sz w:val="32"/>
          <w:szCs w:val="32"/>
          <w:highlight w:val="none"/>
          <w:lang w:val="en-US" w:eastAsia="zh-CN"/>
        </w:rPr>
        <w:t>广州市花都区2011年度第十七批次城镇建设用地中</w:t>
      </w:r>
      <w:r>
        <w:rPr>
          <w:rFonts w:hint="default" w:ascii="Times New Roman" w:hAnsi="Times New Roman" w:eastAsia="仿宋_GB2312" w:cs="Times New Roman"/>
          <w:color w:val="auto"/>
          <w:sz w:val="32"/>
          <w:szCs w:val="32"/>
          <w:highlight w:val="none"/>
          <w:lang w:val="en-US" w:eastAsia="zh-CN"/>
        </w:rPr>
        <w:t>安排落实；给上述被征地农民落实基本养老保障和培训就业等社会保障措施，确保</w:t>
      </w:r>
      <w:r>
        <w:rPr>
          <w:rFonts w:hint="default" w:ascii="Times New Roman" w:hAnsi="Times New Roman" w:eastAsia="仿宋_GB2312" w:cs="Times New Roman"/>
          <w:sz w:val="32"/>
        </w:rPr>
        <w:t>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bookmarkStart w:id="0" w:name="_GoBack"/>
      <w:bookmarkEnd w:id="0"/>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9373001"/>
    <w:rsid w:val="0B017B66"/>
    <w:rsid w:val="0C4869FB"/>
    <w:rsid w:val="0E8E79F1"/>
    <w:rsid w:val="0F036D42"/>
    <w:rsid w:val="0F7468AC"/>
    <w:rsid w:val="10C95C7C"/>
    <w:rsid w:val="175775B7"/>
    <w:rsid w:val="1AAE50AD"/>
    <w:rsid w:val="1B67425E"/>
    <w:rsid w:val="289B209A"/>
    <w:rsid w:val="2C0215FA"/>
    <w:rsid w:val="2F1124AC"/>
    <w:rsid w:val="2F251E1E"/>
    <w:rsid w:val="3486182B"/>
    <w:rsid w:val="3C38025F"/>
    <w:rsid w:val="3C992538"/>
    <w:rsid w:val="3EEC29E6"/>
    <w:rsid w:val="3F3A5E5C"/>
    <w:rsid w:val="3F3B12E2"/>
    <w:rsid w:val="42B31A3C"/>
    <w:rsid w:val="43232767"/>
    <w:rsid w:val="45296E84"/>
    <w:rsid w:val="46212862"/>
    <w:rsid w:val="479F1BF1"/>
    <w:rsid w:val="47C40AA6"/>
    <w:rsid w:val="494E5AF8"/>
    <w:rsid w:val="4B3F663F"/>
    <w:rsid w:val="4B442BE5"/>
    <w:rsid w:val="4F022724"/>
    <w:rsid w:val="4FC379E7"/>
    <w:rsid w:val="50082F1B"/>
    <w:rsid w:val="53CB23A2"/>
    <w:rsid w:val="57045241"/>
    <w:rsid w:val="572C1E49"/>
    <w:rsid w:val="58021AF1"/>
    <w:rsid w:val="5F19102D"/>
    <w:rsid w:val="622845F4"/>
    <w:rsid w:val="6A2503CE"/>
    <w:rsid w:val="6B17192C"/>
    <w:rsid w:val="6B3D53FB"/>
    <w:rsid w:val="6D4C5CE1"/>
    <w:rsid w:val="6FFF475D"/>
    <w:rsid w:val="72CA3E75"/>
    <w:rsid w:val="72EE757E"/>
    <w:rsid w:val="73C32F03"/>
    <w:rsid w:val="753C2362"/>
    <w:rsid w:val="76794CD6"/>
    <w:rsid w:val="76C951AF"/>
    <w:rsid w:val="79B31102"/>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312</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孙海韵</cp:lastModifiedBy>
  <cp:lastPrinted>2022-10-11T09:44:59Z</cp:lastPrinted>
  <dcterms:modified xsi:type="dcterms:W3CDTF">2022-10-11T09:53:31Z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