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广州市黄埔区（中新广州知识城）202</w:t>
      </w:r>
      <w:r>
        <w:rPr>
          <w:rFonts w:hint="eastAsia" w:ascii="Times New Roman" w:hAnsi="Times New Roman" w:eastAsia="方正小标宋简体" w:cs="Times New Roman"/>
          <w:color w:val="000000"/>
          <w:sz w:val="44"/>
          <w:szCs w:val="44"/>
          <w:lang w:val="en-US" w:eastAsia="zh-CN"/>
        </w:rPr>
        <w:t xml:space="preserve">2   </w:t>
      </w:r>
      <w:r>
        <w:rPr>
          <w:rFonts w:hint="default" w:ascii="Times New Roman" w:hAnsi="Times New Roman" w:eastAsia="方正小标宋简体" w:cs="Times New Roman"/>
          <w:color w:val="000000"/>
          <w:sz w:val="44"/>
          <w:szCs w:val="44"/>
          <w:lang w:val="en-US" w:eastAsia="zh-CN"/>
        </w:rPr>
        <w:t>年度</w:t>
      </w:r>
      <w:r>
        <w:rPr>
          <w:rFonts w:hint="eastAsia" w:ascii="Times New Roman" w:hAnsi="Times New Roman" w:eastAsia="方正小标宋简体" w:cs="Times New Roman"/>
          <w:color w:val="000000"/>
          <w:sz w:val="44"/>
          <w:szCs w:val="44"/>
          <w:lang w:val="en-US" w:eastAsia="zh-CN"/>
        </w:rPr>
        <w:t>第二十一批次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p>
    <w:p>
      <w:pPr>
        <w:rPr>
          <w:rFonts w:hint="default" w:ascii="Times New Roman" w:hAnsi="Times New Roman" w:eastAsia="仿宋_GB2312" w:cs="Times New Roman"/>
          <w:kern w:val="0"/>
          <w:szCs w:val="32"/>
        </w:rPr>
      </w:pPr>
    </w:p>
    <w:p>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rPr>
        <w:t>2022年度第</w:t>
      </w:r>
      <w:r>
        <w:rPr>
          <w:rFonts w:hint="eastAsia" w:ascii="Times New Roman" w:hAnsi="Times New Roman" w:eastAsia="仿宋_GB2312" w:cs="Times New Roman"/>
          <w:sz w:val="32"/>
          <w:szCs w:val="32"/>
          <w:lang w:eastAsia="zh-CN"/>
        </w:rPr>
        <w:t>二十一批次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rPr>
        <w:t>2022年度第</w:t>
      </w:r>
      <w:r>
        <w:rPr>
          <w:rFonts w:hint="eastAsia" w:ascii="Times New Roman" w:hAnsi="Times New Roman" w:eastAsia="黑体" w:cs="Times New Roman"/>
          <w:sz w:val="32"/>
          <w:szCs w:val="32"/>
          <w:lang w:eastAsia="zh-CN"/>
        </w:rPr>
        <w:t>二十一批次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ind w:firstLine="640" w:firstLineChars="200"/>
        <w:jc w:val="left"/>
        <w:rPr>
          <w:rFonts w:ascii="仿宋_GB2312" w:hAnsi="Times New Roman" w:eastAsia="仿宋_GB2312"/>
          <w:kern w:val="0"/>
          <w:sz w:val="32"/>
          <w:szCs w:val="32"/>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rPr>
        <w:t>2022年度第</w:t>
      </w:r>
      <w:r>
        <w:rPr>
          <w:rFonts w:hint="eastAsia" w:ascii="Times New Roman" w:hAnsi="Times New Roman" w:eastAsia="仿宋_GB2312" w:cs="Times New Roman"/>
          <w:sz w:val="32"/>
          <w:szCs w:val="32"/>
          <w:lang w:eastAsia="zh-CN"/>
        </w:rPr>
        <w:t>二十一批次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color w:val="000000"/>
          <w:sz w:val="32"/>
          <w:szCs w:val="32"/>
          <w:lang w:bidi="ar"/>
        </w:rPr>
        <w:t>龙湖街</w:t>
      </w:r>
      <w:r>
        <w:rPr>
          <w:rFonts w:hint="eastAsia" w:ascii="Times New Roman" w:hAnsi="Times New Roman" w:eastAsia="仿宋_GB2312" w:cs="Times New Roman"/>
          <w:color w:val="000000"/>
          <w:sz w:val="32"/>
          <w:szCs w:val="32"/>
          <w:lang w:eastAsia="zh-CN" w:bidi="ar"/>
        </w:rPr>
        <w:t>大涵</w:t>
      </w:r>
      <w:r>
        <w:rPr>
          <w:rFonts w:hint="eastAsia" w:ascii="Times New Roman" w:hAnsi="Times New Roman" w:eastAsia="仿宋_GB2312" w:cs="Times New Roman"/>
          <w:color w:val="000000"/>
          <w:sz w:val="32"/>
          <w:szCs w:val="32"/>
          <w:lang w:bidi="ar"/>
        </w:rPr>
        <w:t>村、</w:t>
      </w:r>
      <w:r>
        <w:rPr>
          <w:rFonts w:hint="eastAsia" w:eastAsia="仿宋_GB2312" w:cs="Times New Roman"/>
          <w:color w:val="000000"/>
          <w:sz w:val="32"/>
          <w:szCs w:val="32"/>
          <w:lang w:eastAsia="zh-CN" w:bidi="ar"/>
        </w:rPr>
        <w:t>汤村</w:t>
      </w:r>
      <w:r>
        <w:rPr>
          <w:rFonts w:hint="eastAsia" w:eastAsia="仿宋_GB2312" w:cs="Times New Roman"/>
          <w:color w:val="000000"/>
          <w:sz w:val="32"/>
          <w:szCs w:val="32"/>
          <w:lang w:bidi="ar"/>
        </w:rPr>
        <w:t>村面积共</w:t>
      </w:r>
      <w:r>
        <w:rPr>
          <w:rFonts w:hint="eastAsia" w:ascii="Times New Roman" w:hAnsi="Times New Roman" w:eastAsia="仿宋_GB2312" w:cs="Times New Roman"/>
          <w:color w:val="000000"/>
          <w:sz w:val="32"/>
          <w:szCs w:val="32"/>
          <w:lang w:val="en-US" w:eastAsia="zh-CN" w:bidi="ar"/>
        </w:rPr>
        <w:t>114.8520</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rPr>
        <w:t>共</w:t>
      </w:r>
      <w:r>
        <w:rPr>
          <w:rFonts w:hint="eastAsia" w:ascii="Times New Roman" w:hAnsi="Times New Roman" w:eastAsia="仿宋_GB2312" w:cs="Times New Roman"/>
          <w:sz w:val="32"/>
          <w:szCs w:val="32"/>
          <w:lang w:val="en-US" w:eastAsia="zh-CN"/>
        </w:rPr>
        <w:t>39</w:t>
      </w:r>
      <w:r>
        <w:rPr>
          <w:rFonts w:hint="eastAsia" w:ascii="Times New Roman" w:hAnsi="Times New Roman" w:eastAsia="仿宋_GB2312" w:cs="Times New Roman"/>
          <w:sz w:val="32"/>
          <w:szCs w:val="32"/>
        </w:rPr>
        <w:t>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名单经村民（股东）大会或村民（股东）代表大会讨论，由村委会报乡镇人民政府（街道办事处）核准、公示后确定，送所属社会保险经办部门办理相关社保手续。</w:t>
      </w:r>
    </w:p>
    <w:p>
      <w:pPr>
        <w:ind w:firstLine="640" w:firstLineChars="200"/>
        <w:jc w:val="left"/>
        <w:rPr>
          <w:rFonts w:hint="eastAsia" w:ascii="Times New Roman" w:hAnsi="Times New Roman" w:eastAsia="仿宋_GB2312" w:cs="Times New Roman"/>
          <w:sz w:val="32"/>
          <w:szCs w:val="32"/>
          <w:lang w:eastAsia="zh-CN"/>
        </w:rPr>
      </w:pPr>
      <w:r>
        <w:rPr>
          <w:rFonts w:hint="eastAsia" w:ascii="黑体" w:hAnsi="黑体" w:eastAsia="黑体" w:cs="Times New Roman"/>
          <w:bCs/>
          <w:kern w:val="0"/>
          <w:sz w:val="32"/>
          <w:szCs w:val="32"/>
          <w:shd w:val="clear" w:color="auto" w:fill="FFFFFF"/>
        </w:rPr>
        <w:t>三、征地社保费筹集</w:t>
      </w:r>
      <w:r>
        <w:rPr>
          <w:rFonts w:ascii="Times New Roman" w:hAnsi="Times New Roman" w:eastAsia="黑体" w:cs="Times New Roman"/>
          <w:kern w:val="0"/>
          <w:sz w:val="32"/>
          <w:szCs w:val="32"/>
        </w:rPr>
        <w:t>。</w:t>
      </w:r>
      <w:r>
        <w:rPr>
          <w:rFonts w:ascii="Times New Roman" w:hAnsi="Times New Roman" w:eastAsia="仿宋_GB2312" w:cs="Times New Roman"/>
          <w:color w:val="000000"/>
          <w:kern w:val="0"/>
          <w:sz w:val="32"/>
          <w:szCs w:val="32"/>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color w:val="000000"/>
          <w:kern w:val="0"/>
          <w:sz w:val="32"/>
          <w:szCs w:val="32"/>
          <w:shd w:val="clear" w:color="auto" w:fill="FFFFFF"/>
          <w:lang w:val="en-US" w:eastAsia="zh-CN" w:bidi="ar"/>
        </w:rPr>
        <w:t>63.18</w:t>
      </w:r>
      <w:r>
        <w:rPr>
          <w:rFonts w:ascii="Times New Roman" w:hAnsi="Times New Roman" w:eastAsia="仿宋_GB2312" w:cs="Times New Roman"/>
          <w:color w:val="000000"/>
          <w:kern w:val="0"/>
          <w:sz w:val="32"/>
          <w:szCs w:val="32"/>
          <w:shd w:val="clear" w:color="auto" w:fill="FFFFFF"/>
          <w:lang w:bidi="ar"/>
        </w:rPr>
        <w:t>万元一次性预存入黄埔区人力资源社会保障部门开设的“收缴被征地农民社会保障资金过渡户”，专款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r>
        <w:rPr>
          <w:rFonts w:hint="eastAsia" w:ascii="Times New Roman" w:hAnsi="Times New Roman" w:eastAsia="仿宋_GB2312" w:cs="Times New Roman"/>
          <w:sz w:val="32"/>
          <w:szCs w:val="32"/>
          <w:lang w:eastAsia="zh-CN"/>
        </w:rPr>
        <w:t>。</w:t>
      </w:r>
    </w:p>
    <w:p>
      <w:pPr>
        <w:ind w:firstLine="640" w:firstLineChars="200"/>
        <w:jc w:val="left"/>
        <w:rPr>
          <w:rFonts w:hint="eastAsia" w:ascii="Times New Roman" w:hAnsi="Times New Roman" w:eastAsia="仿宋_GB2312" w:cs="Times New Roman"/>
          <w:sz w:val="32"/>
          <w:szCs w:val="32"/>
        </w:rPr>
      </w:pP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1800" w:firstLineChars="50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2"/>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6"/>
        <w:gridCol w:w="2564"/>
        <w:gridCol w:w="1020"/>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0" w:hRule="atLeast"/>
          <w:jc w:val="center"/>
        </w:trPr>
        <w:tc>
          <w:tcPr>
            <w:tcW w:w="3040"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20"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4" w:hRule="atLeast"/>
          <w:jc w:val="center"/>
        </w:trPr>
        <w:tc>
          <w:tcPr>
            <w:tcW w:w="3040"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2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476" w:type="dxa"/>
            <w:vMerge w:val="restart"/>
            <w:shd w:val="clear" w:color="auto" w:fill="FFFFFF"/>
            <w:noWrap/>
            <w:vAlign w:val="center"/>
          </w:tcPr>
          <w:p>
            <w:pPr>
              <w:spacing w:line="360" w:lineRule="exact"/>
              <w:rPr>
                <w:rFonts w:hint="default" w:ascii="Times New Roman" w:hAnsi="Times New Roman" w:eastAsia="仿宋_GB2312" w:cs="Times New Roman"/>
                <w:sz w:val="24"/>
                <w:lang w:val="en-US" w:eastAsia="zh-CN"/>
              </w:rPr>
            </w:pPr>
          </w:p>
          <w:p>
            <w:pPr>
              <w:spacing w:line="36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龙湖街</w:t>
            </w:r>
          </w:p>
          <w:p>
            <w:pPr>
              <w:spacing w:line="360" w:lineRule="exact"/>
              <w:jc w:val="both"/>
              <w:rPr>
                <w:rFonts w:hint="default" w:ascii="Times New Roman" w:hAnsi="Times New Roman" w:eastAsia="仿宋_GB2312" w:cs="Times New Roman"/>
                <w:sz w:val="24"/>
              </w:rPr>
            </w:pPr>
          </w:p>
        </w:tc>
        <w:tc>
          <w:tcPr>
            <w:tcW w:w="256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eastAsia" w:ascii="仿宋_GB2312" w:hAnsi="仿宋_GB2312" w:eastAsia="仿宋_GB2312" w:cs="仿宋_GB2312"/>
                <w:color w:val="000000"/>
                <w:kern w:val="0"/>
                <w:sz w:val="22"/>
                <w:szCs w:val="22"/>
                <w:highlight w:val="none"/>
                <w:lang w:val="en-US" w:eastAsia="zh-CN" w:bidi="ar"/>
              </w:rPr>
              <w:t>大涵村经济联合社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41.7495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33.2850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8.4645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highlight w:val="none"/>
                <w:lang w:val="en-US" w:eastAsia="zh-CN" w:bidi="ar"/>
              </w:rPr>
              <w:t>汤村村经济联合社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32.1585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32.1405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0.0180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highlight w:val="none"/>
                <w:lang w:val="en-US" w:eastAsia="zh-CN" w:bidi="ar"/>
              </w:rPr>
              <w:t>汤村村新布经济合作社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0.2865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0.2865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highlight w:val="none"/>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highlight w:val="none"/>
                <w:lang w:val="en-US" w:eastAsia="zh-CN" w:bidi="ar"/>
              </w:rPr>
              <w:t>汤村村大迳经济合作社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16.5420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14.7000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highlight w:val="none"/>
                <w:u w:val="none"/>
                <w:lang w:val="en-US" w:eastAsia="zh-CN" w:bidi="ar"/>
              </w:rPr>
              <w:t>1.8420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6</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0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汤村村上一经济合作社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汤村村上二经济合作社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汤村村上三经济合作社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汤村村上四经济合作社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汤村村下一经济合作社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汤村村下二经济合作社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汤村村下三经济合作社</w:t>
            </w:r>
          </w:p>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i w:val="0"/>
                <w:iCs w:val="0"/>
                <w:color w:val="000000"/>
                <w:kern w:val="0"/>
                <w:sz w:val="22"/>
                <w:szCs w:val="22"/>
                <w:highlight w:val="none"/>
                <w:u w:val="none"/>
                <w:lang w:val="en-US" w:eastAsia="zh-CN" w:bidi="ar"/>
              </w:rPr>
              <w:t>（共有）</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1.2735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0.6675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highlight w:val="none"/>
                <w:u w:val="none"/>
                <w:lang w:val="en-US" w:eastAsia="zh-CN" w:bidi="ar"/>
              </w:rPr>
              <w:t>0.6060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00"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汤村村上一经济合作社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汤村村上二经济合作社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汤村村上三经济合作社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汤村村上四经济合作社</w:t>
            </w:r>
          </w:p>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i w:val="0"/>
                <w:iCs w:val="0"/>
                <w:color w:val="000000"/>
                <w:kern w:val="0"/>
                <w:sz w:val="22"/>
                <w:szCs w:val="22"/>
                <w:highlight w:val="none"/>
                <w:u w:val="none"/>
                <w:lang w:val="en-US" w:eastAsia="zh-CN" w:bidi="ar"/>
              </w:rPr>
              <w:t>（共有）</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1.1310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1.1310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highlight w:val="none"/>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汤村村下一经济合作社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汤村村下二经济合作社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汤村村下三经济合作社</w:t>
            </w:r>
          </w:p>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i w:val="0"/>
                <w:iCs w:val="0"/>
                <w:color w:val="000000"/>
                <w:kern w:val="0"/>
                <w:sz w:val="22"/>
                <w:szCs w:val="22"/>
                <w:highlight w:val="none"/>
                <w:u w:val="none"/>
                <w:lang w:val="en-US" w:eastAsia="zh-CN" w:bidi="ar"/>
              </w:rPr>
              <w:t>（共有）</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10.2630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10.2630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highlight w:val="none"/>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8" w:hRule="atLeast"/>
          <w:jc w:val="center"/>
        </w:trPr>
        <w:tc>
          <w:tcPr>
            <w:tcW w:w="476"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2564"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000000"/>
                <w:kern w:val="0"/>
                <w:sz w:val="22"/>
                <w:szCs w:val="22"/>
                <w:highlight w:val="none"/>
                <w:lang w:val="en-US" w:eastAsia="zh-CN" w:bidi="ar"/>
              </w:rPr>
              <w:t>汤村村盘一经济合作社</w:t>
            </w:r>
          </w:p>
          <w:p>
            <w:pPr>
              <w:widowControl/>
              <w:spacing w:line="280" w:lineRule="exact"/>
              <w:jc w:val="center"/>
              <w:textAlignment w:val="center"/>
              <w:rPr>
                <w:rFonts w:hint="eastAsia" w:ascii="仿宋_GB2312" w:hAnsi="仿宋_GB2312" w:eastAsia="仿宋_GB2312" w:cs="仿宋_GB2312"/>
                <w:color w:val="000000"/>
                <w:kern w:val="0"/>
                <w:sz w:val="22"/>
                <w:szCs w:val="22"/>
                <w:highlight w:val="none"/>
                <w:lang w:val="en-US" w:eastAsia="zh-CN" w:bidi="ar"/>
              </w:rPr>
            </w:pPr>
            <w:r>
              <w:rPr>
                <w:rFonts w:hint="eastAsia" w:ascii="仿宋_GB2312" w:hAnsi="仿宋_GB2312" w:eastAsia="仿宋_GB2312" w:cs="仿宋_GB2312"/>
                <w:color w:val="000000"/>
                <w:kern w:val="0"/>
                <w:sz w:val="22"/>
                <w:szCs w:val="22"/>
                <w:highlight w:val="none"/>
                <w:lang w:val="en-US" w:eastAsia="zh-CN" w:bidi="ar"/>
              </w:rPr>
              <w:t>汤村村盘二经济合作社</w:t>
            </w:r>
          </w:p>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highlight w:val="none"/>
                <w:lang w:val="en-US" w:eastAsia="zh-CN" w:bidi="ar"/>
              </w:rPr>
              <w:t>（共有）</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11.4480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11.4480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highlight w:val="none"/>
                <w:u w:val="none"/>
                <w:lang w:val="en-US" w:eastAsia="zh-CN" w:bidi="ar"/>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8" w:hRule="atLeast"/>
          <w:jc w:val="center"/>
        </w:trPr>
        <w:tc>
          <w:tcPr>
            <w:tcW w:w="3040"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highlight w:val="none"/>
                <w:u w:val="none"/>
                <w:lang w:val="en-US" w:eastAsia="zh-CN" w:bidi="ar"/>
              </w:rPr>
              <w:t xml:space="preserve">114.8520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highlight w:val="none"/>
                <w:u w:val="none"/>
                <w:lang w:val="en-US" w:eastAsia="zh-CN" w:bidi="ar"/>
              </w:rPr>
              <w:t>103.9215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eastAsia" w:ascii="Times New Roman" w:hAnsi="Times New Roman" w:eastAsia="宋体" w:cs="Times New Roman"/>
                <w:b/>
                <w:bCs/>
                <w:i w:val="0"/>
                <w:iCs w:val="0"/>
                <w:color w:val="000000"/>
                <w:kern w:val="0"/>
                <w:sz w:val="22"/>
                <w:szCs w:val="22"/>
                <w:highlight w:val="none"/>
                <w:u w:val="none"/>
                <w:lang w:val="en-US" w:eastAsia="zh-CN" w:bidi="ar"/>
              </w:rPr>
              <w:t>10.9125</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highlight w:val="none"/>
                <w:u w:val="none"/>
                <w:lang w:val="en-US" w:eastAsia="zh-CN" w:bidi="ar"/>
              </w:rPr>
              <w:t>0.0180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highlight w:val="none"/>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39</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63.18</w:t>
            </w:r>
          </w:p>
        </w:tc>
      </w:tr>
    </w:tbl>
    <w:p>
      <w:pPr>
        <w:jc w:val="right"/>
        <w:rPr>
          <w:rFonts w:hint="default" w:ascii="Times New Roman" w:hAnsi="Times New Roman" w:eastAsia="仿宋_GB2312" w:cs="Times New Roman"/>
          <w:sz w:val="32"/>
          <w:szCs w:val="32"/>
        </w:rPr>
      </w:pPr>
    </w:p>
    <w:p>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right"/>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bookmarkStart w:id="0" w:name="_GoBack"/>
      <w:bookmarkEnd w:id="0"/>
      <w:r>
        <w:rPr>
          <w:rFonts w:hint="default" w:ascii="Times New Roman" w:hAnsi="Times New Roman" w:eastAsia="仿宋_GB2312" w:cs="Times New Roman"/>
          <w:sz w:val="32"/>
          <w:szCs w:val="32"/>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15E0"/>
    <w:rsid w:val="00C4504B"/>
    <w:rsid w:val="05592F3C"/>
    <w:rsid w:val="077346EA"/>
    <w:rsid w:val="0B4B15E0"/>
    <w:rsid w:val="15E30DAF"/>
    <w:rsid w:val="24B628A3"/>
    <w:rsid w:val="2BEE5883"/>
    <w:rsid w:val="2FE431A1"/>
    <w:rsid w:val="32634CBB"/>
    <w:rsid w:val="38775BE4"/>
    <w:rsid w:val="3CC90077"/>
    <w:rsid w:val="421F46D8"/>
    <w:rsid w:val="455D7DD4"/>
    <w:rsid w:val="470D3DEB"/>
    <w:rsid w:val="4B965F1B"/>
    <w:rsid w:val="4F7207DC"/>
    <w:rsid w:val="54CB1250"/>
    <w:rsid w:val="55171365"/>
    <w:rsid w:val="594B042A"/>
    <w:rsid w:val="6F073BDA"/>
    <w:rsid w:val="741661E7"/>
    <w:rsid w:val="7ADF3369"/>
    <w:rsid w:val="7B597A93"/>
    <w:rsid w:val="7D1A6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花生</cp:lastModifiedBy>
  <cp:lastPrinted>2022-09-01T06:19:00Z</cp:lastPrinted>
  <dcterms:modified xsi:type="dcterms:W3CDTF">2022-10-12T06:13:42Z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E3871CC0A26D4F43ADF65FE0B46EDFB7</vt:lpwstr>
  </property>
</Properties>
</file>