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000000"/>
          <w:sz w:val="44"/>
          <w:szCs w:val="44"/>
        </w:rPr>
      </w:pPr>
      <w:bookmarkStart w:id="0" w:name="_GoBack"/>
      <w:bookmarkEnd w:id="0"/>
      <w:r>
        <w:rPr>
          <w:rFonts w:hint="eastAsia" w:ascii="方正小标宋简体" w:hAnsi="方正小标宋简体" w:eastAsia="方正小标宋简体" w:cs="方正小标宋简体"/>
          <w:bCs/>
          <w:color w:val="000000"/>
          <w:sz w:val="44"/>
          <w:szCs w:val="44"/>
        </w:rPr>
        <w:t>广东省省级自然资源行政执法减免责清单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免处罚清单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29"/>
        <w:gridCol w:w="939"/>
        <w:gridCol w:w="5055"/>
        <w:gridCol w:w="3576"/>
        <w:gridCol w:w="1224"/>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63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729"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939" w:type="dxa"/>
            <w:vAlign w:val="center"/>
          </w:tcPr>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505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3576"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免处罚适用情形</w:t>
            </w:r>
          </w:p>
        </w:tc>
        <w:tc>
          <w:tcPr>
            <w:tcW w:w="122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73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trPr>
        <w:tc>
          <w:tcPr>
            <w:tcW w:w="635"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拒不履行土地复垦义务</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440212003000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eastAsia="zh-CN"/>
              </w:rPr>
              <w:t>第四十三条、</w:t>
            </w:r>
            <w:r>
              <w:rPr>
                <w:rFonts w:hint="eastAsia" w:ascii="仿宋_GB2312" w:hAnsi="Times New Roman" w:eastAsia="仿宋_GB2312" w:cs="Times New Roman"/>
                <w:color w:val="000000"/>
                <w:sz w:val="24"/>
              </w:rPr>
              <w:t>第七十六条</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1.《土地管理法实施条例》（2021年修订）第五十六条第一款</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违法行为轻微，积极配合查处工作，及时履行土地复垦义务并通过验收，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trPr>
        <w:tc>
          <w:tcPr>
            <w:tcW w:w="635" w:type="dxa"/>
            <w:vAlign w:val="center"/>
          </w:tcPr>
          <w:p>
            <w:pPr>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临时用地期满之日起一年内未完成复垦或者未恢复种植条件</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1.《土地管理法》（2019年修正）第七十六条 </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1.《土地管理法实施条例》（2021年修订）第二十条第三款、第五十六条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违法行为轻微，积极配合查处工作，及时</w:t>
            </w:r>
            <w:r>
              <w:rPr>
                <w:rFonts w:hint="eastAsia" w:ascii="仿宋_GB2312" w:hAnsi="Times New Roman" w:eastAsia="仿宋_GB2312" w:cs="Times New Roman"/>
                <w:color w:val="000000"/>
                <w:sz w:val="24"/>
              </w:rPr>
              <w:t>完成复垦或者恢复种植条件</w:t>
            </w:r>
            <w:r>
              <w:rPr>
                <w:rFonts w:hint="eastAsia" w:ascii="仿宋_GB2312" w:hAnsi="Times New Roman" w:eastAsia="仿宋_GB2312" w:cs="Times New Roman"/>
                <w:color w:val="000000"/>
                <w:sz w:val="24"/>
                <w:lang w:eastAsia="zh-CN"/>
              </w:rPr>
              <w:t>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接受土地调查的单位和个人无正当理由不履行现场指界义务</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440212021000</w:t>
            </w:r>
          </w:p>
        </w:tc>
        <w:tc>
          <w:tcPr>
            <w:tcW w:w="505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1.《土地调查条例》（2018年修订）第十七条</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第三十二条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1.《土地调查条例实施办法》（2019年修正）第二十九条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改正，积极履行现场指界义务，没有造成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未按照规定补充编制土地复垦方案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1.《土地复垦条例》（2011年）第十三条</w:t>
            </w:r>
            <w:r>
              <w:rPr>
                <w:rFonts w:hint="eastAsia" w:ascii="仿宋_GB2312" w:hAnsi="Times New Roman" w:eastAsia="仿宋_GB2312" w:cs="Times New Roman"/>
                <w:color w:val="000000"/>
                <w:sz w:val="24"/>
                <w:lang w:val="en-US" w:eastAsia="zh-CN"/>
              </w:rPr>
              <w:t>第三款</w:t>
            </w:r>
            <w:r>
              <w:rPr>
                <w:rFonts w:hint="eastAsia" w:ascii="仿宋_GB2312" w:hAnsi="Times New Roman" w:eastAsia="仿宋_GB2312" w:cs="Times New Roman"/>
                <w:color w:val="000000"/>
                <w:sz w:val="24"/>
              </w:rPr>
              <w:t>、第三十七条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改正，按照规定补充编制土地复垦方案，没有造成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土地复垦义务人未按照规定将土地复垦费用列入生产成本或者建设项目总投资</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1.《土地复垦条例》（2011年）第十五条、第三十八条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改正，按照规定将土地复垦费用列入生产成本或者建设项目总投资，没有造成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土地复垦义务人未按照规定预存土地复垦费用</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44021201E000</w:t>
            </w:r>
          </w:p>
          <w:p>
            <w:pPr>
              <w:jc w:val="center"/>
              <w:rPr>
                <w:rFonts w:hint="eastAsia" w:ascii="仿宋_GB2312" w:hAnsi="Times New Roman" w:eastAsia="仿宋_GB2312" w:cs="Times New Roman"/>
                <w:color w:val="000000"/>
                <w:sz w:val="24"/>
                <w:lang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1.《土地复垦条例》（2011年）第三十八条</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地方性法规</w:t>
            </w:r>
            <w:r>
              <w:rPr>
                <w:rFonts w:hint="eastAsia" w:ascii="仿宋_GB2312" w:hAnsi="Times New Roman" w:eastAsia="仿宋_GB2312" w:cs="Times New Roman"/>
                <w:color w:val="000000"/>
                <w:sz w:val="24"/>
                <w:lang w:eastAsia="zh-CN"/>
              </w:rPr>
              <w:t>】</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1.《广东省土地管理条例》（2022年）第二十一条、第五十三条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w:t>
            </w:r>
            <w:r>
              <w:rPr>
                <w:rFonts w:hint="eastAsia" w:ascii="仿宋_GB2312" w:hAnsi="Times New Roman" w:eastAsia="仿宋_GB2312" w:cs="Times New Roman"/>
                <w:color w:val="000000"/>
                <w:sz w:val="24"/>
                <w:lang w:eastAsia="zh-CN"/>
              </w:rPr>
              <w:t>第十六条、第十七条、第十八条、第十九条、</w:t>
            </w:r>
            <w:r>
              <w:rPr>
                <w:rFonts w:hint="eastAsia" w:ascii="仿宋_GB2312" w:hAnsi="Times New Roman" w:eastAsia="仿宋_GB2312" w:cs="Times New Roman"/>
                <w:color w:val="000000"/>
                <w:sz w:val="24"/>
              </w:rPr>
              <w:t xml:space="preserve">第五十一条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改正，按照规定预存土地复垦费用，没有造成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土地复垦义务人未按照规定报告土地损毁情况、土地复垦费用使用情况或者土地复垦工程实施情况</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1.《土地复垦条例》（2011年）第十七条第一款、第四十一条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改正，按照规定报告土地损毁情况、土地复垦费用使用情况或者土地复垦工程实施情况，没有造成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土地复垦义务人未按照规定开展土地复垦质量控制和采取管护措施</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44021200M000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1.《土地复垦条例实施办法》（2019年修正）第二十五条、第五十二条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改正，按照规定开展土地复垦质量控制和采取管护措施，没有造成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土地复垦义务人依照规定应当缴纳土地复垦费而不缴纳</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440212019000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1.《土地复垦条例》（2011年）第十八条第一款、第四十二条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缴款</w:t>
            </w:r>
            <w:r>
              <w:rPr>
                <w:rFonts w:hint="eastAsia" w:ascii="仿宋_GB2312" w:hAnsi="Times New Roman" w:eastAsia="仿宋_GB2312" w:cs="Times New Roman"/>
                <w:color w:val="000000"/>
                <w:sz w:val="24"/>
                <w:lang w:eastAsia="zh-CN"/>
              </w:rPr>
              <w:t>土地复垦费</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土地复垦义务人未按照规定将土地复垦方案、土地复垦规划设计报所在地县级自然资源主管部门备案</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44021200L000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1.《土地复垦条例实施办法》（2019年修正）第十五条、第五十条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改正，按照规定将土地复垦方案、土地复垦规划设计进行备案，没有造成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7"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破坏或者擅自改变基本农田保护区的保护标志</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440212022000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1.《基本农田保护条例》（2011年修订）第十一条第二款、第</w:t>
            </w:r>
            <w:r>
              <w:rPr>
                <w:rFonts w:hint="eastAsia" w:ascii="仿宋_GB2312" w:hAnsi="Times New Roman" w:eastAsia="仿宋_GB2312" w:cs="Times New Roman"/>
                <w:color w:val="000000"/>
                <w:sz w:val="24"/>
                <w:lang w:eastAsia="zh-Hans"/>
              </w:rPr>
              <w:t>三十二</w:t>
            </w:r>
            <w:r>
              <w:rPr>
                <w:rFonts w:hint="eastAsia" w:ascii="仿宋_GB2312" w:hAnsi="Times New Roman" w:eastAsia="仿宋_GB2312" w:cs="Times New Roman"/>
                <w:color w:val="000000"/>
                <w:sz w:val="24"/>
              </w:rPr>
              <w:t>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1.《广东省基本农田保护区管理条例》（2014年修正）</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第二十</w:t>
            </w:r>
            <w:r>
              <w:rPr>
                <w:rFonts w:hint="eastAsia" w:ascii="仿宋_GB2312" w:hAnsi="Times New Roman" w:eastAsia="仿宋_GB2312" w:cs="Times New Roman"/>
                <w:color w:val="000000"/>
                <w:sz w:val="24"/>
                <w:lang w:eastAsia="zh-Hans"/>
              </w:rPr>
              <w:t>三</w:t>
            </w:r>
            <w:r>
              <w:rPr>
                <w:rFonts w:hint="eastAsia" w:ascii="仿宋_GB2312" w:hAnsi="Times New Roman" w:eastAsia="仿宋_GB2312" w:cs="Times New Roman"/>
                <w:color w:val="000000"/>
                <w:sz w:val="24"/>
              </w:rPr>
              <w:t>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及时将</w:t>
            </w:r>
            <w:r>
              <w:rPr>
                <w:rFonts w:hint="eastAsia" w:ascii="仿宋_GB2312" w:hAnsi="Times New Roman" w:eastAsia="仿宋_GB2312" w:cs="Times New Roman"/>
                <w:color w:val="000000"/>
                <w:sz w:val="24"/>
              </w:rPr>
              <w:t>基本农田保护区的保护标志恢复原状，没有造成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探矿权人未完成最低勘查投入</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rPr>
              <w:t>第二十九条第二项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改正，按照规定完成最低勘查投入，没有造成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已经领取勘查许可证的勘查项目，满6个月未开始施工，或者施工后无故停止勘查工作满6个月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第十八条、</w:t>
            </w:r>
            <w:r>
              <w:rPr>
                <w:rFonts w:hint="eastAsia" w:ascii="仿宋_GB2312" w:hAnsi="Times New Roman" w:eastAsia="仿宋_GB2312" w:cs="Times New Roman"/>
                <w:color w:val="000000"/>
                <w:sz w:val="24"/>
              </w:rPr>
              <w:t xml:space="preserve">第二十九条第三项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1.《广东省矿产资源管理条例》（2012年修正）</w:t>
            </w:r>
            <w:r>
              <w:rPr>
                <w:rFonts w:hint="eastAsia" w:ascii="仿宋_GB2312" w:hAnsi="Times New Roman" w:eastAsia="仿宋_GB2312" w:cs="Times New Roman"/>
                <w:color w:val="000000"/>
                <w:sz w:val="24"/>
                <w:lang w:val="en-US" w:eastAsia="zh-CN"/>
              </w:rPr>
              <w:t>第十四条、</w:t>
            </w:r>
            <w:r>
              <w:rPr>
                <w:rFonts w:hint="eastAsia" w:ascii="仿宋_GB2312" w:hAnsi="Times New Roman" w:eastAsia="仿宋_GB2312" w:cs="Times New Roman"/>
                <w:color w:val="000000"/>
                <w:sz w:val="24"/>
              </w:rPr>
              <w:t xml:space="preserve">第六十一条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改正，按照规定进行施工或者开展勘查工作，没有造成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破坏或者擅自移动矿区范围界桩或者地面标志</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1.《矿产资源开采登记管理办法》（2014年修订）</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第十九条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及时恢复</w:t>
            </w:r>
            <w:r>
              <w:rPr>
                <w:rFonts w:hint="eastAsia" w:ascii="仿宋_GB2312" w:hAnsi="Times New Roman" w:eastAsia="仿宋_GB2312" w:cs="Times New Roman"/>
                <w:color w:val="000000"/>
                <w:sz w:val="24"/>
              </w:rPr>
              <w:t>矿区范围界桩或者地面标志，没有造成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未按规定的期限汇交地质资料</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1.《地质资料管理条例》（2017年修订）</w:t>
            </w:r>
            <w:r>
              <w:rPr>
                <w:rFonts w:hint="eastAsia" w:ascii="仿宋_GB2312" w:hAnsi="Times New Roman" w:eastAsia="仿宋_GB2312" w:cs="Times New Roman"/>
                <w:color w:val="000000"/>
                <w:sz w:val="24"/>
                <w:lang w:val="en-US" w:eastAsia="zh-CN"/>
              </w:rPr>
              <w:t>第十条、</w:t>
            </w:r>
            <w:r>
              <w:rPr>
                <w:rFonts w:hint="eastAsia" w:ascii="仿宋_GB2312" w:hAnsi="Times New Roman" w:eastAsia="仿宋_GB2312" w:cs="Times New Roman"/>
                <w:color w:val="000000"/>
                <w:sz w:val="24"/>
              </w:rPr>
              <w:t>第二十条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汇交</w:t>
            </w:r>
            <w:r>
              <w:rPr>
                <w:rFonts w:hint="eastAsia" w:ascii="仿宋_GB2312" w:hAnsi="Times New Roman" w:eastAsia="仿宋_GB2312" w:cs="Times New Roman"/>
                <w:color w:val="000000"/>
                <w:sz w:val="24"/>
                <w:lang w:eastAsia="zh-CN"/>
              </w:rPr>
              <w:t>地质资料</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不对矿区范围内的危岩、危坡、开裂带、沉降区和塌陷区设置警示标志</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【地方性法规】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1.《广东省矿产资源管理条例》（2012年修正）</w:t>
            </w:r>
            <w:r>
              <w:rPr>
                <w:rFonts w:hint="eastAsia" w:ascii="仿宋_GB2312" w:hAnsi="Times New Roman" w:eastAsia="仿宋_GB2312" w:cs="Times New Roman"/>
                <w:color w:val="000000"/>
                <w:sz w:val="24"/>
                <w:lang w:val="en-US" w:eastAsia="zh-CN"/>
              </w:rPr>
              <w:t>第五十条、</w:t>
            </w:r>
            <w:r>
              <w:rPr>
                <w:rFonts w:hint="eastAsia" w:ascii="仿宋_GB2312" w:hAnsi="Times New Roman" w:eastAsia="仿宋_GB2312" w:cs="Times New Roman"/>
                <w:color w:val="000000"/>
                <w:sz w:val="24"/>
                <w:lang w:val="en"/>
              </w:rPr>
              <w:t>第六十二条第三项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改正，按照规定设置警示标志，没有造成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地质灾害危险性评估资质单位不及时办理地质灾害危险性评估资质证书变更、注销手续</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 xml:space="preserve">1.《地质灾害危险性评估单位资质管理办法》（2019年修正）第二十二条、第二十九条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改正，按照规定办理资质证书变更、注销手续，没有造成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地质灾害危险性评估资质单位不按时进行资质和项目备案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1.《地质灾害危险性评估单位资质管理办法》（2019年修正）第二十七条、第三十条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地质灾害治理工程勘查设计施工资质单位不按照规定及时办理资质证书变更、注销手续</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w:t>
            </w:r>
            <w:r>
              <w:rPr>
                <w:rFonts w:hint="eastAsia" w:ascii="仿宋_GB2312" w:hAnsi="Times New Roman" w:eastAsia="仿宋_GB2312" w:cs="Times New Roman"/>
                <w:color w:val="000000"/>
                <w:sz w:val="24"/>
                <w:lang w:val="en"/>
              </w:rPr>
              <w:t>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20</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地质灾害治理工程勘查设计施工资质单位不按照规定进行备案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1.《地质灾害治理工程勘查设计施工单位资质管理办法》（2019年修正）第二十七条、第二十九条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21</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地质灾害治理工程监理资质单位不按照规定及时办理资质证书变更、注销手续</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1.《地质灾害治理工程监理单位资质管理办法》（2019年修正）第十八条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第十九条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w:t>
            </w:r>
            <w:r>
              <w:rPr>
                <w:rFonts w:hint="eastAsia" w:ascii="仿宋_GB2312" w:hAnsi="Times New Roman" w:eastAsia="仿宋_GB2312" w:cs="Times New Roman"/>
                <w:color w:val="000000"/>
                <w:sz w:val="24"/>
                <w:lang w:val="en" w:eastAsia="zh-Hans"/>
              </w:rPr>
              <w:t>二十</w:t>
            </w:r>
            <w:r>
              <w:rPr>
                <w:rFonts w:hint="eastAsia" w:ascii="仿宋_GB2312" w:hAnsi="Times New Roman" w:eastAsia="仿宋_GB2312" w:cs="Times New Roman"/>
                <w:color w:val="000000"/>
                <w:sz w:val="24"/>
                <w:lang w:val="en"/>
              </w:rPr>
              <w:t>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第二十六条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办理资质证书变更、注销手续，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地质灾害治理工程监理资质单位不按照规定进行备案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1.《地质灾害治理工程监理单位资质管理办法》（2019年修正）第二十五条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第二十七条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未按规定计提矿山地质环境治理恢复基金</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44021201A000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计提</w:t>
            </w:r>
            <w:r>
              <w:rPr>
                <w:rFonts w:hint="eastAsia" w:ascii="仿宋_GB2312" w:hAnsi="Times New Roman" w:eastAsia="仿宋_GB2312" w:cs="Times New Roman"/>
                <w:color w:val="000000"/>
                <w:sz w:val="24"/>
                <w:lang w:val="en"/>
              </w:rPr>
              <w:t>矿山地质环境治理恢复基金</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探矿权人未采取治理恢复措施</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44021200K000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第二十九条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采取治理恢复措施，</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25</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生物化石发掘单位未按照规定移交发掘的古生物化石</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第十五条、</w:t>
            </w:r>
            <w:r>
              <w:rPr>
                <w:rFonts w:hint="eastAsia" w:ascii="仿宋_GB2312" w:hAnsi="Times New Roman" w:eastAsia="仿宋_GB2312" w:cs="Times New Roman"/>
                <w:color w:val="000000"/>
                <w:sz w:val="24"/>
                <w:lang w:val="en"/>
              </w:rPr>
              <w:t>第三十七条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1.《古生物化石保护条例实施办法》（2019年修正）第五十二条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没有造成古生物化石损毁</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生物化石收藏单位不符合收藏条件收藏古生物化石</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440212061000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第二十条、</w:t>
            </w:r>
            <w:r>
              <w:rPr>
                <w:rFonts w:hint="eastAsia" w:ascii="仿宋_GB2312" w:hAnsi="Times New Roman" w:eastAsia="仿宋_GB2312" w:cs="Times New Roman"/>
                <w:color w:val="000000"/>
                <w:sz w:val="24"/>
                <w:lang w:val="en"/>
              </w:rPr>
              <w:t>第三十八条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w:t>
            </w:r>
            <w:r>
              <w:rPr>
                <w:rFonts w:hint="eastAsia" w:ascii="仿宋_GB2312" w:hAnsi="Times New Roman" w:eastAsia="仿宋_GB2312" w:cs="Times New Roman"/>
                <w:color w:val="000000"/>
                <w:sz w:val="24"/>
                <w:lang w:val="en-US" w:eastAsia="zh-CN"/>
              </w:rPr>
              <w:t>第二十四条、</w:t>
            </w:r>
            <w:r>
              <w:rPr>
                <w:rFonts w:hint="eastAsia" w:ascii="仿宋_GB2312" w:hAnsi="Times New Roman" w:eastAsia="仿宋_GB2312" w:cs="Times New Roman"/>
                <w:color w:val="000000"/>
                <w:sz w:val="24"/>
                <w:lang w:val="en"/>
              </w:rPr>
              <w:t>第五十三条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古生物化石收藏单位未按照规定建立本单位收藏的古生物化石档案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440212062000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第二十一条第二款、</w:t>
            </w:r>
            <w:r>
              <w:rPr>
                <w:rFonts w:hint="eastAsia" w:ascii="仿宋_GB2312" w:hAnsi="Times New Roman" w:eastAsia="仿宋_GB2312" w:cs="Times New Roman"/>
                <w:color w:val="000000"/>
                <w:sz w:val="24"/>
                <w:lang w:val="en"/>
              </w:rPr>
              <w:t>第三十九条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w:t>
            </w:r>
            <w:r>
              <w:rPr>
                <w:rFonts w:hint="eastAsia" w:ascii="仿宋_GB2312" w:hAnsi="Times New Roman" w:eastAsia="仿宋_GB2312" w:cs="Times New Roman"/>
                <w:color w:val="000000"/>
                <w:sz w:val="24"/>
                <w:lang w:val="en"/>
              </w:rPr>
              <w:t>规定建立古生物化石档案</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国有收藏单位将其收藏的重点保护古生物化石违法转让、交换、赠与给非国有收藏单位或者个人</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440212066000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第二十三条第一款、</w:t>
            </w:r>
            <w:r>
              <w:rPr>
                <w:rFonts w:hint="eastAsia" w:ascii="仿宋_GB2312" w:hAnsi="Times New Roman" w:eastAsia="仿宋_GB2312" w:cs="Times New Roman"/>
                <w:color w:val="000000"/>
                <w:sz w:val="24"/>
                <w:lang w:val="en"/>
              </w:rPr>
              <w:t>第四十一条</w:t>
            </w:r>
            <w:r>
              <w:rPr>
                <w:rFonts w:hint="eastAsia" w:ascii="仿宋_GB2312" w:hAnsi="Times New Roman" w:eastAsia="仿宋_GB2312" w:cs="Times New Roman"/>
                <w:color w:val="000000"/>
                <w:sz w:val="24"/>
              </w:rPr>
              <w:t xml:space="preserve"> </w:t>
            </w:r>
          </w:p>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1.《古生物化石保护条例实施办法》（2019年修正）第五十五条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eastAsia="zh-CN"/>
              </w:rPr>
              <w:t>退还已经转让、赠与给非国有收藏单位或者个人的重点保护古生物化石，没有</w:t>
            </w:r>
            <w:r>
              <w:rPr>
                <w:rFonts w:hint="eastAsia" w:ascii="仿宋_GB2312" w:hAnsi="Times New Roman" w:eastAsia="仿宋_GB2312" w:cs="Times New Roman"/>
                <w:color w:val="000000"/>
                <w:sz w:val="24"/>
              </w:rPr>
              <w:t>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9"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不汇交测绘成果资料的，测绘项目出资人逾期不汇交的，承担国家投资的测绘项目的单位逾期不汇交的，自暂扣测绘资质证书之日起六个月内仍不汇交</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440212080000</w:t>
            </w: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第三十三条第二款、</w:t>
            </w:r>
            <w:r>
              <w:rPr>
                <w:rFonts w:hint="eastAsia" w:ascii="仿宋_GB2312" w:hAnsi="Times New Roman" w:eastAsia="仿宋_GB2312" w:cs="Times New Roman"/>
                <w:color w:val="000000"/>
                <w:sz w:val="24"/>
                <w:lang w:val="en"/>
              </w:rPr>
              <w:t>第六十条</w:t>
            </w:r>
            <w:r>
              <w:rPr>
                <w:rFonts w:hint="eastAsia" w:ascii="仿宋_GB2312" w:hAnsi="Times New Roman" w:eastAsia="仿宋_GB2312" w:cs="Times New Roman"/>
                <w:color w:val="000000"/>
                <w:sz w:val="24"/>
                <w:lang w:val="en-US" w:eastAsia="zh-C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val="en" w:eastAsia="zh-CN"/>
              </w:rPr>
              <w:t>及时改正，</w:t>
            </w:r>
            <w:r>
              <w:rPr>
                <w:rFonts w:hint="eastAsia" w:ascii="仿宋_GB2312" w:hAnsi="Times New Roman" w:eastAsia="仿宋_GB2312" w:cs="Times New Roman"/>
                <w:color w:val="000000"/>
                <w:sz w:val="24"/>
                <w:lang w:val="en" w:eastAsia="zh-Hans"/>
              </w:rPr>
              <w:t>汇交</w:t>
            </w:r>
            <w:r>
              <w:rPr>
                <w:rFonts w:hint="eastAsia" w:ascii="仿宋_GB2312" w:hAnsi="Times New Roman" w:eastAsia="仿宋_GB2312" w:cs="Times New Roman"/>
                <w:color w:val="000000"/>
                <w:sz w:val="24"/>
                <w:lang w:val="en" w:eastAsia="zh-CN"/>
              </w:rPr>
              <w:t>测绘成果资料</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1"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r>
              <w:rPr>
                <w:rFonts w:ascii="仿宋_GB2312" w:hAnsi="Times New Roman" w:eastAsia="仿宋_GB2312" w:cs="Times New Roman"/>
                <w:color w:val="000000"/>
                <w:sz w:val="24"/>
              </w:rPr>
              <w:t>0</w:t>
            </w:r>
          </w:p>
        </w:tc>
        <w:tc>
          <w:tcPr>
            <w:tcW w:w="1729"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实施基础测绘项目，不使用全国统一的测绘基准和测绘系统或者不执行国家规定的测绘技术规范和标准</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44021200Y000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第五条</w:t>
            </w:r>
          </w:p>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1.《基础测绘条例》（</w:t>
            </w:r>
            <w:r>
              <w:rPr>
                <w:rFonts w:hint="eastAsia" w:ascii="仿宋_GB2312" w:hAnsi="Times New Roman" w:eastAsia="仿宋_GB2312" w:cs="Times New Roman"/>
                <w:color w:val="000000"/>
                <w:sz w:val="24"/>
              </w:rPr>
              <w:t>2009年</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lang w:val="en-US" w:eastAsia="zh-CN"/>
              </w:rPr>
              <w:t>第十七条、第二十五条、</w:t>
            </w:r>
            <w:r>
              <w:rPr>
                <w:rFonts w:hint="eastAsia" w:ascii="仿宋_GB2312" w:hAnsi="Times New Roman" w:eastAsia="仿宋_GB2312" w:cs="Times New Roman"/>
                <w:color w:val="000000"/>
                <w:sz w:val="24"/>
                <w:lang w:val="en"/>
              </w:rPr>
              <w:t>第三十一条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，按照规定</w:t>
            </w:r>
            <w:r>
              <w:rPr>
                <w:rFonts w:hint="eastAsia" w:ascii="仿宋_GB2312" w:hAnsi="Times New Roman" w:eastAsia="仿宋_GB2312" w:cs="Times New Roman"/>
                <w:color w:val="000000"/>
                <w:sz w:val="24"/>
                <w:lang w:val="en" w:eastAsia="zh-Hans"/>
              </w:rPr>
              <w:t>使用全国统一的测绘基准和测绘系统或者执行国家规定的测绘技术规范和标准</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635" w:type="dxa"/>
            <w:vAlign w:val="center"/>
          </w:tcPr>
          <w:p>
            <w:pPr>
              <w:spacing w:line="300" w:lineRule="exact"/>
              <w:jc w:val="center"/>
              <w:rPr>
                <w:rFonts w:hint="eastAsia" w:ascii="仿宋_GB2312" w:hAnsi="Times New Roman" w:eastAsia="仿宋_GB2312" w:cs="Times New Roman"/>
                <w:color w:val="000000"/>
                <w:sz w:val="24"/>
                <w:lang w:eastAsia="zh-CN"/>
              </w:rPr>
            </w:pPr>
            <w:r>
              <w:rPr>
                <w:rFonts w:ascii="仿宋_GB2312" w:hAnsi="Times New Roman" w:eastAsia="仿宋_GB2312" w:cs="Times New Roman"/>
                <w:color w:val="000000"/>
                <w:sz w:val="24"/>
              </w:rPr>
              <w:t>3</w:t>
            </w:r>
            <w:r>
              <w:rPr>
                <w:rFonts w:hint="eastAsia" w:ascii="仿宋_GB2312" w:hAnsi="Times New Roman" w:eastAsia="仿宋_GB2312" w:cs="Times New Roman"/>
                <w:color w:val="000000"/>
                <w:sz w:val="24"/>
                <w:lang w:val="en-US" w:eastAsia="zh-CN"/>
              </w:rPr>
              <w:t>1</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eastAsia="zh-Hans"/>
              </w:rPr>
              <w:t>城乡规划编制资质单位取得资质证书后，不再符合相应的资质条件</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44021200A000</w:t>
            </w:r>
          </w:p>
        </w:tc>
        <w:tc>
          <w:tcPr>
            <w:tcW w:w="5055"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【法律】</w:t>
            </w:r>
            <w:r>
              <w:rPr>
                <w:rFonts w:hint="eastAsia" w:ascii="仿宋_GB2312" w:hAnsi="Times New Roman" w:eastAsia="仿宋_GB2312" w:cs="Times New Roman"/>
                <w:color w:val="000000"/>
                <w:sz w:val="24"/>
                <w:lang w:val="en" w:eastAsia="zh-Hans"/>
              </w:rPr>
              <w:br w:type="textWrapping"/>
            </w:r>
            <w:r>
              <w:rPr>
                <w:rFonts w:hint="eastAsia" w:ascii="仿宋_GB2312" w:hAnsi="Times New Roman" w:eastAsia="仿宋_GB2312" w:cs="Times New Roman"/>
                <w:color w:val="000000"/>
                <w:sz w:val="24"/>
                <w:lang w:val="en" w:eastAsia="zh-Hans"/>
              </w:rPr>
              <w:t>1.《城乡规划法》（2019年修正）</w:t>
            </w:r>
            <w:r>
              <w:rPr>
                <w:rFonts w:hint="eastAsia" w:ascii="仿宋_GB2312" w:hAnsi="Times New Roman" w:eastAsia="仿宋_GB2312" w:cs="Times New Roman"/>
                <w:color w:val="000000"/>
                <w:sz w:val="24"/>
                <w:lang w:val="en-US" w:eastAsia="zh-CN"/>
              </w:rPr>
              <w:t>第二十四条、</w:t>
            </w:r>
            <w:r>
              <w:rPr>
                <w:rFonts w:hint="eastAsia" w:ascii="仿宋_GB2312" w:hAnsi="Times New Roman" w:eastAsia="仿宋_GB2312" w:cs="Times New Roman"/>
                <w:color w:val="000000"/>
                <w:sz w:val="24"/>
                <w:lang w:val="en" w:eastAsia="zh-Hans"/>
              </w:rPr>
              <w:t xml:space="preserve">第六十三条 </w:t>
            </w:r>
          </w:p>
          <w:p>
            <w:pPr>
              <w:rPr>
                <w:rFonts w:ascii="仿宋_GB2312" w:hAnsi="Times New Roman" w:eastAsia="仿宋_GB2312" w:cs="Times New Roman"/>
                <w:color w:val="000000"/>
                <w:sz w:val="24"/>
                <w:lang w:val="en"/>
              </w:rPr>
            </w:pP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w:t>
            </w:r>
            <w:r>
              <w:rPr>
                <w:rFonts w:hint="eastAsia" w:ascii="仿宋_GB2312" w:hAnsi="Times New Roman" w:eastAsia="仿宋_GB2312" w:cs="Times New Roman"/>
                <w:color w:val="000000"/>
                <w:sz w:val="24"/>
                <w:lang w:eastAsia="zh-CN"/>
              </w:rPr>
              <w:t>符合相应的资质条件，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4" w:hRule="atLeast"/>
        </w:trPr>
        <w:tc>
          <w:tcPr>
            <w:tcW w:w="635" w:type="dxa"/>
            <w:vAlign w:val="center"/>
          </w:tcPr>
          <w:p>
            <w:pPr>
              <w:spacing w:line="300" w:lineRule="exact"/>
              <w:jc w:val="center"/>
              <w:rPr>
                <w:rFonts w:hint="eastAsia" w:ascii="仿宋_GB2312" w:hAnsi="Times New Roman" w:eastAsia="仿宋_GB2312" w:cs="Times New Roman"/>
                <w:color w:val="000000"/>
                <w:sz w:val="24"/>
                <w:lang w:eastAsia="zh-CN"/>
              </w:rPr>
            </w:pPr>
            <w:r>
              <w:rPr>
                <w:rFonts w:ascii="仿宋_GB2312" w:hAnsi="Times New Roman" w:eastAsia="仿宋_GB2312" w:cs="Times New Roman"/>
                <w:color w:val="000000"/>
                <w:sz w:val="24"/>
              </w:rPr>
              <w:t>3</w:t>
            </w:r>
            <w:r>
              <w:rPr>
                <w:rFonts w:hint="eastAsia" w:ascii="仿宋_GB2312" w:hAnsi="Times New Roman" w:eastAsia="仿宋_GB2312" w:cs="Times New Roman"/>
                <w:color w:val="000000"/>
                <w:sz w:val="24"/>
                <w:lang w:val="en-US" w:eastAsia="zh-CN"/>
              </w:rPr>
              <w:t>2</w:t>
            </w:r>
          </w:p>
        </w:tc>
        <w:tc>
          <w:tcPr>
            <w:tcW w:w="1729"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建设单位未在建设工程竣工验收后六个月内向城乡规划主管部门报送有关竣工验收资料</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44021200P000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【法律】</w:t>
            </w:r>
          </w:p>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eastAsia="zh-Hans"/>
              </w:rPr>
              <w:t>1.《城乡规划法》（2019年修正）</w:t>
            </w:r>
            <w:r>
              <w:rPr>
                <w:rFonts w:hint="eastAsia" w:ascii="仿宋_GB2312" w:hAnsi="Times New Roman" w:eastAsia="仿宋_GB2312" w:cs="Times New Roman"/>
                <w:color w:val="000000"/>
                <w:sz w:val="24"/>
                <w:lang w:val="en-US" w:eastAsia="zh-CN"/>
              </w:rPr>
              <w:t>第四十五条、</w:t>
            </w:r>
            <w:r>
              <w:rPr>
                <w:rFonts w:hint="eastAsia" w:ascii="仿宋_GB2312" w:hAnsi="Times New Roman" w:eastAsia="仿宋_GB2312" w:cs="Times New Roman"/>
                <w:color w:val="000000"/>
                <w:sz w:val="24"/>
                <w:lang w:val="en" w:eastAsia="zh-Hans"/>
              </w:rPr>
              <w:t xml:space="preserve">第六十七条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val="en" w:eastAsia="zh-Hans"/>
              </w:rPr>
              <w:t>补报</w:t>
            </w:r>
            <w:r>
              <w:rPr>
                <w:rFonts w:hint="eastAsia" w:ascii="仿宋_GB2312" w:hAnsi="Times New Roman" w:eastAsia="仿宋_GB2312" w:cs="Times New Roman"/>
                <w:color w:val="000000"/>
                <w:sz w:val="24"/>
                <w:lang w:val="en" w:eastAsia="zh-CN"/>
              </w:rPr>
              <w:t>竣工验收</w:t>
            </w:r>
            <w:r>
              <w:rPr>
                <w:rFonts w:hint="eastAsia" w:ascii="仿宋_GB2312" w:hAnsi="Times New Roman" w:eastAsia="仿宋_GB2312" w:cs="Times New Roman"/>
                <w:color w:val="000000"/>
                <w:sz w:val="24"/>
                <w:lang w:val="en" w:eastAsia="zh-Hans"/>
              </w:rPr>
              <w:t>资料</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bl>
    <w:p>
      <w:pPr>
        <w:rPr>
          <w:rFonts w:ascii="方正小标宋简体" w:hAnsi="方正小标宋简体" w:eastAsia="方正小标宋简体" w:cs="方正小标宋简体"/>
          <w:bCs/>
          <w:color w:val="000000"/>
          <w:sz w:val="32"/>
          <w:szCs w:val="32"/>
        </w:rPr>
      </w:pPr>
    </w:p>
    <w:p>
      <w:pPr>
        <w:widowControl/>
        <w:jc w:val="left"/>
        <w:rPr>
          <w:rFonts w:hint="eastAsia" w:ascii="方正小标宋简体" w:hAnsi="方正小标宋简体" w:eastAsia="方正小标宋简体" w:cs="方正小标宋简体"/>
          <w:bCs/>
          <w:color w:val="000000"/>
          <w:sz w:val="32"/>
          <w:szCs w:val="32"/>
        </w:rPr>
      </w:pPr>
      <w:r>
        <w:rPr>
          <w:rFonts w:ascii="方正小标宋简体" w:hAnsi="方正小标宋简体" w:eastAsia="方正小标宋简体" w:cs="方正小标宋简体"/>
          <w:bCs/>
          <w:color w:val="000000"/>
          <w:sz w:val="32"/>
          <w:szCs w:val="32"/>
        </w:rPr>
        <w:br w:type="page"/>
      </w:r>
    </w:p>
    <w:p>
      <w:pPr>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从轻处罚清单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668"/>
        <w:gridCol w:w="1021"/>
        <w:gridCol w:w="4943"/>
        <w:gridCol w:w="2117"/>
        <w:gridCol w:w="1093"/>
        <w:gridCol w:w="208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1" w:hRule="atLeast"/>
          <w:tblHeader/>
        </w:trPr>
        <w:tc>
          <w:tcPr>
            <w:tcW w:w="621"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668"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21"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943"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设定依据</w:t>
            </w:r>
          </w:p>
        </w:tc>
        <w:tc>
          <w:tcPr>
            <w:tcW w:w="211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从轻处罚适用情形</w:t>
            </w:r>
          </w:p>
        </w:tc>
        <w:tc>
          <w:tcPr>
            <w:tcW w:w="10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从轻处罚适用依据</w:t>
            </w:r>
          </w:p>
        </w:tc>
        <w:tc>
          <w:tcPr>
            <w:tcW w:w="2080"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352"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从轻处罚后监管措施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668"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未经批准或者采取欺骗手段骗取批准，非法占用土地</w:t>
            </w:r>
          </w:p>
        </w:tc>
        <w:tc>
          <w:tcPr>
            <w:tcW w:w="1021" w:type="dxa"/>
            <w:vMerge w:val="restart"/>
            <w:vAlign w:val="center"/>
          </w:tcPr>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004000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hint="eastAsia" w:ascii="仿宋_GB2312" w:hAnsi="Times New Roman" w:eastAsia="仿宋_GB2312" w:cs="Times New Roman"/>
                <w:color w:val="000000"/>
                <w:sz w:val="24"/>
              </w:rPr>
              <w:t>第七十七条第一款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2.《基本农田保护条例》（2011年修订）第三十条第一项</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1.《广东省土地管理条例》（2022年）</w:t>
            </w:r>
            <w:r>
              <w:rPr>
                <w:rFonts w:hint="eastAsia" w:ascii="仿宋_GB2312" w:hAnsi="Times New Roman" w:eastAsia="仿宋_GB2312" w:cs="Times New Roman"/>
                <w:color w:val="000000"/>
                <w:sz w:val="24"/>
                <w:lang w:eastAsia="zh-CN"/>
              </w:rPr>
              <w:t>第二十四条、第二十五条、</w:t>
            </w:r>
            <w:r>
              <w:rPr>
                <w:rFonts w:hint="eastAsia" w:ascii="仿宋_GB2312" w:hAnsi="Times New Roman" w:eastAsia="仿宋_GB2312" w:cs="Times New Roman"/>
                <w:color w:val="000000"/>
                <w:sz w:val="24"/>
              </w:rPr>
              <w:t>第五十二条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US" w:eastAsia="zh-CN"/>
              </w:rPr>
              <w:t>2.</w:t>
            </w:r>
            <w:r>
              <w:rPr>
                <w:rFonts w:hint="eastAsia" w:ascii="仿宋_GB2312" w:hAnsi="Times New Roman" w:eastAsia="仿宋_GB2312" w:cs="Times New Roman"/>
                <w:color w:val="000000"/>
                <w:sz w:val="24"/>
              </w:rPr>
              <w:t>《广东省基本农田保护区管理条例》（2014年修正）第二十二条第一款第一项</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668"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超过批准的数量占用土地</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p>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01J000</w:t>
            </w:r>
          </w:p>
          <w:p>
            <w:pPr>
              <w:jc w:val="center"/>
              <w:rPr>
                <w:rFonts w:hint="eastAsia" w:ascii="仿宋_GB2312" w:hAnsi="Times New Roman" w:eastAsia="仿宋_GB2312" w:cs="Times New Roman"/>
                <w:color w:val="000000"/>
                <w:sz w:val="24"/>
                <w:lang w:eastAsia="zh-CN"/>
              </w:rPr>
            </w:pPr>
          </w:p>
        </w:tc>
        <w:tc>
          <w:tcPr>
            <w:tcW w:w="4943"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ascii="仿宋_GB2312" w:hAnsi="Times New Roman" w:eastAsia="仿宋_GB2312" w:cs="Times New Roman"/>
                <w:color w:val="000000"/>
                <w:sz w:val="24"/>
              </w:rPr>
              <w:t>第七十七条</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1.《土地管理法实施条例》（2021年修订）第五十七条第一款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2.《基本农田保护条例》（2011年修订）第三十条第一项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1.《广东省土地管理条例》（2022年）第五十二条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2.《广东省基本农田保护区管理条例》（2014年修正）第二十二条第一款第一项 </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621" w:type="dxa"/>
            <w:vMerge w:val="restart"/>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668"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在国土空间规划确定的禁止开垦的范围内从事土地开发活动</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009000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rPr>
              <w:t>1.《土地管理法》（2019年修正）第七十七条</w:t>
            </w:r>
            <w:r>
              <w:rPr>
                <w:rFonts w:hint="eastAsia" w:ascii="仿宋_GB2312" w:hAnsi="Times New Roman" w:eastAsia="仿宋_GB2312" w:cs="Times New Roman"/>
                <w:color w:val="000000"/>
                <w:sz w:val="24"/>
                <w:lang w:eastAsia="zh-CN"/>
              </w:rPr>
              <w:t>第一款</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 xml:space="preserve">1.《土地管理法实施条例》（2021年修订）第九条第一款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2.《土地管理法实施条例》（2021年修订）第五十七条</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接受调查的单位和个人拒绝或者阻挠土地调查人员依法进行调查</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第三十二条第一项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积极配合土地调查</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接受调查的单位和个人拒绝提供调查资料</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第三十二条第三项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积极配合提供调查资料</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在地质灾害危险区内爆破、削坡、进行工程建设以及从事其他可能引发地质灾害活动</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045000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1.《地质灾害防治条例》（2003年）</w:t>
            </w:r>
            <w:r>
              <w:rPr>
                <w:rFonts w:hint="eastAsia" w:ascii="仿宋_GB2312" w:hAnsi="Times New Roman" w:eastAsia="仿宋_GB2312" w:cs="Times New Roman"/>
                <w:color w:val="000000"/>
                <w:sz w:val="24"/>
                <w:lang w:val="en-US" w:eastAsia="zh-CN"/>
              </w:rPr>
              <w:t>第十九条第二款、</w:t>
            </w:r>
            <w:r>
              <w:rPr>
                <w:rFonts w:ascii="仿宋_GB2312" w:hAnsi="Times New Roman" w:eastAsia="仿宋_GB2312" w:cs="Times New Roman"/>
                <w:color w:val="000000"/>
                <w:sz w:val="24"/>
              </w:rPr>
              <w:t xml:space="preserve">第四十三条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1.《广东省矿产资源管理条例》（2012年修正）第六十二条第一项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依法对他人进行赔偿，</w:t>
            </w:r>
            <w:r>
              <w:rPr>
                <w:rFonts w:hint="eastAsia" w:ascii="仿宋_GB2312" w:hAnsi="Times New Roman" w:eastAsia="仿宋_GB2312" w:cs="Times New Roman"/>
                <w:color w:val="000000"/>
                <w:sz w:val="24"/>
                <w:lang w:eastAsia="zh-CN"/>
              </w:rPr>
              <w:t>没有实际引发灾情险情</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对单位处5万元（含）以上8万元以下罚款；对个人处1万元（含）以上2万元以下罚款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损毁、擅自移动永久性测量标志或者正在使用中的临时性测量标志</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第六十四条第一项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1.《测量标志保护条例》（2011年修订）第二十二条第一项</w:t>
            </w:r>
          </w:p>
        </w:tc>
        <w:tc>
          <w:tcPr>
            <w:tcW w:w="211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及时采取措施维修、归位测量标志，测量标志</w:t>
            </w:r>
            <w:r>
              <w:rPr>
                <w:rFonts w:hint="eastAsia" w:ascii="仿宋_GB2312" w:hAnsi="Times New Roman" w:eastAsia="仿宋_GB2312" w:cs="Times New Roman"/>
                <w:color w:val="000000"/>
                <w:sz w:val="24"/>
                <w:lang w:eastAsia="zh-CN"/>
              </w:rPr>
              <w:t>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6"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8</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侵占永久性测量标志用地</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第六十四条第二项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1.《测量标志保护条例》（2011年修订）第二十二条第二项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及时采取措施恢复测量标志用地，测量标志未失去使用效能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在永久性测量标志安全控制范围内从事危害测量标志安全和使用效能的活动</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第六十四条第三项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1.《测量标志保护条例》（2011年修订）第二十二条第三项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及时采取措施恢复测量标志安全和使用效能，测量标志未失去使用效能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3"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擅自拆迁永久性测量标志或者使永久性量标志失去使用效能，或者拒绝支付迁建费用</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第四十三条、</w:t>
            </w:r>
            <w:r>
              <w:rPr>
                <w:rFonts w:ascii="仿宋_GB2312" w:hAnsi="Times New Roman" w:eastAsia="仿宋_GB2312" w:cs="Times New Roman"/>
                <w:color w:val="000000"/>
                <w:sz w:val="24"/>
              </w:rPr>
              <w:t>第六十四条第四项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及时采取措施迁建测量标志，恢复测量标志使用效能，测量标志未失去使用效能</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rPr>
              <w:t>或者按照规定支付迁建费</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违反操作规程使用永久性测量标志，造成永久性测量标志毁损</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eastAsia="zh-CN"/>
              </w:rPr>
              <w:t>第四十四条、</w:t>
            </w:r>
            <w:r>
              <w:rPr>
                <w:rFonts w:ascii="仿宋_GB2312" w:hAnsi="Times New Roman" w:eastAsia="仿宋_GB2312" w:cs="Times New Roman"/>
                <w:color w:val="000000"/>
                <w:sz w:val="24"/>
              </w:rPr>
              <w:t>第六十四条第五项</w:t>
            </w:r>
          </w:p>
        </w:tc>
        <w:tc>
          <w:tcPr>
            <w:tcW w:w="2117" w:type="dxa"/>
            <w:vAlign w:val="center"/>
          </w:tcPr>
          <w:p>
            <w:pPr>
              <w:rPr>
                <w:rFonts w:ascii="仿宋_GB2312" w:hAnsi="Times New Roman" w:eastAsia="仿宋_GB2312" w:cs="Times New Roman"/>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bl>
    <w:p>
      <w:pPr>
        <w:rPr>
          <w:rFonts w:ascii="方正小标宋简体" w:hAnsi="方正小标宋简体" w:eastAsia="方正小标宋简体" w:cs="方正小标宋简体"/>
          <w:bCs/>
          <w:color w:val="000000"/>
          <w:sz w:val="32"/>
          <w:szCs w:val="32"/>
        </w:rPr>
      </w:pPr>
    </w:p>
    <w:p>
      <w:pP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br w:type="page"/>
      </w:r>
    </w:p>
    <w:p>
      <w:pPr>
        <w:widowControl/>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减轻处罚清单</w:t>
      </w:r>
    </w:p>
    <w:tbl>
      <w:tblPr>
        <w:tblStyle w:val="6"/>
        <w:tblW w:w="14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595"/>
        <w:gridCol w:w="1059"/>
        <w:gridCol w:w="4865"/>
        <w:gridCol w:w="2393"/>
        <w:gridCol w:w="1594"/>
        <w:gridCol w:w="136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trPr>
        <w:tc>
          <w:tcPr>
            <w:tcW w:w="656"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59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59"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86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23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减轻处罚适用条件</w:t>
            </w:r>
          </w:p>
        </w:tc>
        <w:tc>
          <w:tcPr>
            <w:tcW w:w="159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36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367" w:type="dxa"/>
            <w:vAlign w:val="center"/>
          </w:tcPr>
          <w:p>
            <w:pPr>
              <w:jc w:val="center"/>
              <w:rPr>
                <w:rFonts w:ascii="方正小标宋简体" w:hAnsi="方正小标宋简体" w:eastAsia="方正小标宋简体" w:cs="方正小标宋简体"/>
                <w:bCs/>
                <w:color w:val="000000"/>
                <w:sz w:val="32"/>
                <w:szCs w:val="32"/>
              </w:rPr>
            </w:pPr>
            <w:r>
              <w:rPr>
                <w:rFonts w:hint="eastAsia" w:ascii="黑体" w:hAnsi="黑体" w:eastAsia="黑体" w:cs="黑体"/>
                <w:color w:val="000000"/>
                <w:sz w:val="24"/>
                <w:szCs w:val="16"/>
              </w:rPr>
              <w:t>减轻处罚后监管措施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595"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在临时使用的土地上修建永久性建筑物、构筑物</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010000</w:t>
            </w:r>
          </w:p>
        </w:tc>
        <w:tc>
          <w:tcPr>
            <w:tcW w:w="4865"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1.《土地管理法》（2019年修正）第五十七条第二款</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1.《土地管理法实施条例》（2021年修订）第五十二条</w:t>
            </w:r>
          </w:p>
        </w:tc>
        <w:tc>
          <w:tcPr>
            <w:tcW w:w="2393"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积极配合查处工作，主动停止违法行为，主动采取措施消除或减轻危害后果，及时</w:t>
            </w:r>
            <w:r>
              <w:rPr>
                <w:rFonts w:hint="eastAsia" w:ascii="仿宋_GB2312" w:hAnsi="Times New Roman" w:eastAsia="仿宋_GB2312" w:cs="Times New Roman"/>
                <w:color w:val="000000"/>
                <w:sz w:val="24"/>
              </w:rPr>
              <w:t>拆除修建的永久性建筑物、构筑物</w:t>
            </w:r>
          </w:p>
        </w:tc>
        <w:tc>
          <w:tcPr>
            <w:tcW w:w="1594"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36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按占用面积处土地复垦费5倍以下的罚款</w:t>
            </w:r>
          </w:p>
        </w:tc>
        <w:tc>
          <w:tcPr>
            <w:tcW w:w="136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59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矿山企业未达到经依法审查确定的开采回采率、选矿回收率、共伴生矿产综合利用率和土地复垦等指标</w:t>
            </w:r>
          </w:p>
        </w:tc>
        <w:tc>
          <w:tcPr>
            <w:tcW w:w="105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00G000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r>
              <w:rPr>
                <w:rFonts w:ascii="仿宋_GB2312" w:hAnsi="Times New Roman" w:eastAsia="仿宋_GB2312" w:cs="Times New Roman"/>
                <w:color w:val="000000"/>
                <w:sz w:val="24"/>
              </w:rPr>
              <w:br w:type="textWrapping"/>
            </w:r>
            <w:r>
              <w:rPr>
                <w:rFonts w:ascii="仿宋_GB2312" w:hAnsi="Times New Roman" w:eastAsia="仿宋_GB2312" w:cs="Times New Roman"/>
                <w:color w:val="000000"/>
                <w:sz w:val="24"/>
              </w:rPr>
              <w:t>1.《循环经济促进法》（2018年修正）</w:t>
            </w:r>
            <w:r>
              <w:rPr>
                <w:rFonts w:hint="eastAsia" w:ascii="仿宋_GB2312" w:hAnsi="Times New Roman" w:eastAsia="仿宋_GB2312" w:cs="Times New Roman"/>
                <w:color w:val="000000"/>
                <w:sz w:val="24"/>
                <w:lang w:val="en-US" w:eastAsia="zh-CN"/>
              </w:rPr>
              <w:t>第二十二条、</w:t>
            </w:r>
            <w:r>
              <w:rPr>
                <w:rFonts w:ascii="仿宋_GB2312" w:hAnsi="Times New Roman" w:eastAsia="仿宋_GB2312" w:cs="Times New Roman"/>
                <w:color w:val="000000"/>
                <w:sz w:val="24"/>
              </w:rPr>
              <w:t>第五十三条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主动采取措施提升有关指标使其符合规定</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处5万元以下罚款</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59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卫星导航定位基准站的建设和运行维护不符合国家标准、要求</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073000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第十四条、</w:t>
            </w:r>
            <w:r>
              <w:rPr>
                <w:rFonts w:ascii="仿宋_GB2312" w:hAnsi="Times New Roman" w:eastAsia="仿宋_GB2312" w:cs="Times New Roman"/>
                <w:color w:val="000000"/>
                <w:sz w:val="24"/>
              </w:rPr>
              <w:t>第五十四条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及时改正，积极采取改进基准站、拆除基准站、或者销毁测绘成果等措施</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处30万元以下罚款</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bl>
    <w:p>
      <w:pPr>
        <w:widowControl/>
        <w:jc w:val="left"/>
        <w:rPr>
          <w:rFonts w:ascii="方正小标宋简体" w:hAnsi="方正小标宋简体" w:eastAsia="方正小标宋简体" w:cs="方正小标宋简体"/>
          <w:bCs/>
          <w:color w:val="000000"/>
          <w:sz w:val="32"/>
          <w:szCs w:val="32"/>
        </w:rPr>
      </w:pPr>
    </w:p>
    <w:p>
      <w:pPr>
        <w:jc w:val="center"/>
        <w:rPr>
          <w:rFonts w:ascii="方正小标宋简体" w:hAnsi="方正小标宋简体" w:eastAsia="方正小标宋简体" w:cs="方正小标宋简体"/>
          <w:bCs/>
          <w:color w:val="000000"/>
          <w:sz w:val="32"/>
          <w:szCs w:val="32"/>
        </w:rPr>
      </w:pPr>
    </w:p>
    <w:p>
      <w:pPr>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免强制清单</w:t>
      </w:r>
    </w:p>
    <w:tbl>
      <w:tblPr>
        <w:tblStyle w:val="6"/>
        <w:tblW w:w="14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381"/>
        <w:gridCol w:w="2381"/>
        <w:gridCol w:w="2381"/>
        <w:gridCol w:w="2381"/>
        <w:gridCol w:w="2381"/>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22"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2381" w:type="dxa"/>
            <w:vAlign w:val="center"/>
          </w:tcPr>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rPr>
              <w:t>事项名称</w:t>
            </w:r>
          </w:p>
        </w:tc>
        <w:tc>
          <w:tcPr>
            <w:tcW w:w="2381"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lang w:eastAsia="zh-CN"/>
              </w:rPr>
              <w:t>基本编码</w:t>
            </w:r>
          </w:p>
        </w:tc>
        <w:tc>
          <w:tcPr>
            <w:tcW w:w="2381"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2381"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免强制适用条件</w:t>
            </w:r>
          </w:p>
        </w:tc>
        <w:tc>
          <w:tcPr>
            <w:tcW w:w="2381"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免强制适用依据</w:t>
            </w:r>
          </w:p>
        </w:tc>
        <w:tc>
          <w:tcPr>
            <w:tcW w:w="2381" w:type="dxa"/>
            <w:vAlign w:val="center"/>
          </w:tcPr>
          <w:p>
            <w:pPr>
              <w:jc w:val="center"/>
              <w:rPr>
                <w:rFonts w:ascii="方正小标宋简体" w:hAnsi="方正小标宋简体" w:eastAsia="方正小标宋简体" w:cs="方正小标宋简体"/>
                <w:bCs/>
                <w:color w:val="000000"/>
                <w:sz w:val="32"/>
                <w:szCs w:val="32"/>
              </w:rPr>
            </w:pPr>
            <w:r>
              <w:rPr>
                <w:rFonts w:hint="eastAsia" w:ascii="黑体" w:hAnsi="黑体" w:eastAsia="黑体" w:cs="黑体"/>
                <w:color w:val="000000"/>
                <w:sz w:val="24"/>
                <w:szCs w:val="16"/>
              </w:rPr>
              <w:t>免强制后监管措施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22" w:type="dxa"/>
            <w:vAlign w:val="center"/>
          </w:tcPr>
          <w:p>
            <w:pPr>
              <w:spacing w:line="300" w:lineRule="exact"/>
              <w:jc w:val="center"/>
              <w:rPr>
                <w:rFonts w:hint="eastAsia" w:ascii="黑体" w:hAnsi="黑体" w:eastAsia="黑体" w:cs="黑体"/>
                <w:color w:val="000000"/>
                <w:sz w:val="24"/>
                <w:szCs w:val="16"/>
              </w:rPr>
            </w:pPr>
            <w:r>
              <w:rPr>
                <w:rFonts w:hint="eastAsia" w:ascii="仿宋_GB2312" w:hAnsi="Times New Roman" w:eastAsia="仿宋_GB2312" w:cs="Times New Roman"/>
                <w:color w:val="000000"/>
                <w:sz w:val="24"/>
              </w:rPr>
              <w:t>无</w:t>
            </w:r>
          </w:p>
        </w:tc>
        <w:tc>
          <w:tcPr>
            <w:tcW w:w="2381" w:type="dxa"/>
            <w:vAlign w:val="center"/>
          </w:tcPr>
          <w:p>
            <w:pPr>
              <w:spacing w:line="300" w:lineRule="exact"/>
              <w:jc w:val="center"/>
              <w:rPr>
                <w:rFonts w:hint="eastAsia" w:ascii="仿宋_GB2312" w:hAnsi="Times New Roman" w:eastAsia="仿宋_GB2312" w:cs="Times New Roman"/>
                <w:color w:val="000000"/>
                <w:sz w:val="24"/>
              </w:rPr>
            </w:pPr>
          </w:p>
        </w:tc>
        <w:tc>
          <w:tcPr>
            <w:tcW w:w="2381" w:type="dxa"/>
            <w:vAlign w:val="center"/>
          </w:tcPr>
          <w:p>
            <w:pPr>
              <w:spacing w:line="300" w:lineRule="exact"/>
              <w:jc w:val="center"/>
              <w:rPr>
                <w:rFonts w:hint="eastAsia" w:ascii="黑体" w:hAnsi="黑体" w:eastAsia="黑体" w:cs="黑体"/>
                <w:color w:val="000000"/>
                <w:sz w:val="24"/>
                <w:szCs w:val="16"/>
              </w:rPr>
            </w:pPr>
          </w:p>
        </w:tc>
        <w:tc>
          <w:tcPr>
            <w:tcW w:w="2381" w:type="dxa"/>
            <w:vAlign w:val="center"/>
          </w:tcPr>
          <w:p>
            <w:pPr>
              <w:jc w:val="center"/>
              <w:rPr>
                <w:rFonts w:hint="eastAsia" w:ascii="黑体" w:hAnsi="黑体" w:eastAsia="黑体" w:cs="黑体"/>
                <w:color w:val="000000"/>
                <w:sz w:val="24"/>
                <w:szCs w:val="16"/>
              </w:rPr>
            </w:pPr>
          </w:p>
        </w:tc>
        <w:tc>
          <w:tcPr>
            <w:tcW w:w="2381" w:type="dxa"/>
            <w:vAlign w:val="center"/>
          </w:tcPr>
          <w:p>
            <w:pPr>
              <w:jc w:val="center"/>
              <w:rPr>
                <w:rFonts w:hint="eastAsia" w:ascii="黑体" w:hAnsi="黑体" w:eastAsia="黑体" w:cs="黑体"/>
                <w:color w:val="000000"/>
                <w:sz w:val="24"/>
                <w:szCs w:val="16"/>
              </w:rPr>
            </w:pPr>
          </w:p>
        </w:tc>
        <w:tc>
          <w:tcPr>
            <w:tcW w:w="2381" w:type="dxa"/>
            <w:vAlign w:val="center"/>
          </w:tcPr>
          <w:p>
            <w:pPr>
              <w:jc w:val="center"/>
              <w:rPr>
                <w:rFonts w:hint="eastAsia" w:ascii="黑体" w:hAnsi="黑体" w:eastAsia="黑体" w:cs="黑体"/>
                <w:color w:val="000000"/>
                <w:sz w:val="24"/>
                <w:szCs w:val="16"/>
              </w:rPr>
            </w:pPr>
          </w:p>
        </w:tc>
        <w:tc>
          <w:tcPr>
            <w:tcW w:w="2381" w:type="dxa"/>
          </w:tcPr>
          <w:p>
            <w:pPr>
              <w:jc w:val="center"/>
              <w:rPr>
                <w:rFonts w:hint="eastAsia" w:ascii="黑体" w:hAnsi="黑体" w:eastAsia="黑体" w:cs="黑体"/>
                <w:color w:val="000000"/>
                <w:sz w:val="24"/>
                <w:szCs w:val="16"/>
              </w:rPr>
            </w:pPr>
          </w:p>
        </w:tc>
      </w:tr>
    </w:tbl>
    <w:p>
      <w:pPr>
        <w:spacing w:line="300" w:lineRule="exact"/>
        <w:rPr>
          <w:rFonts w:ascii="仿宋_GB2312" w:hAnsi="Times New Roman" w:eastAsia="仿宋_GB2312"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Times New Roman" w:eastAsia="仿宋_GB2312"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注：除本清单列举的事项之外，符合《广东省自然资源行政处罚自由裁量权实施办法》第九条、第十条规定的不予处罚、从轻或者减轻处罚情形的，依法不予处罚、从轻或者减轻处罚。</w:t>
      </w:r>
    </w:p>
    <w:sectPr>
      <w:footerReference r:id="rId3" w:type="default"/>
      <w:pgSz w:w="16838" w:h="11906" w:orient="landscape"/>
      <w:pgMar w:top="1021" w:right="1077" w:bottom="1021" w:left="107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C6D45"/>
    <w:rsid w:val="00054456"/>
    <w:rsid w:val="000628F7"/>
    <w:rsid w:val="00220E94"/>
    <w:rsid w:val="002806AD"/>
    <w:rsid w:val="002A6B1E"/>
    <w:rsid w:val="003427E1"/>
    <w:rsid w:val="003B07E8"/>
    <w:rsid w:val="003C6B75"/>
    <w:rsid w:val="00435004"/>
    <w:rsid w:val="004622B8"/>
    <w:rsid w:val="004A0560"/>
    <w:rsid w:val="0056144A"/>
    <w:rsid w:val="005B67C4"/>
    <w:rsid w:val="006429A9"/>
    <w:rsid w:val="00C43189"/>
    <w:rsid w:val="00CB45A9"/>
    <w:rsid w:val="00D2572F"/>
    <w:rsid w:val="00DF5F54"/>
    <w:rsid w:val="00E52C5D"/>
    <w:rsid w:val="00E86E09"/>
    <w:rsid w:val="00ED4146"/>
    <w:rsid w:val="00F526CA"/>
    <w:rsid w:val="0FE10CF7"/>
    <w:rsid w:val="0FEF7C96"/>
    <w:rsid w:val="125C71A2"/>
    <w:rsid w:val="132868F4"/>
    <w:rsid w:val="1833261C"/>
    <w:rsid w:val="19C33717"/>
    <w:rsid w:val="1A794CEA"/>
    <w:rsid w:val="1CDD20D3"/>
    <w:rsid w:val="1E6765EE"/>
    <w:rsid w:val="1F27AFC7"/>
    <w:rsid w:val="21527279"/>
    <w:rsid w:val="2BD703BE"/>
    <w:rsid w:val="2E9D8AA7"/>
    <w:rsid w:val="2FDC7BBB"/>
    <w:rsid w:val="30A9101A"/>
    <w:rsid w:val="35237360"/>
    <w:rsid w:val="38FC3089"/>
    <w:rsid w:val="391151EF"/>
    <w:rsid w:val="3B631B62"/>
    <w:rsid w:val="3D7547B0"/>
    <w:rsid w:val="3FD01CFE"/>
    <w:rsid w:val="40846392"/>
    <w:rsid w:val="45732F87"/>
    <w:rsid w:val="489C6D45"/>
    <w:rsid w:val="48C83A1D"/>
    <w:rsid w:val="4B136938"/>
    <w:rsid w:val="4DBB246B"/>
    <w:rsid w:val="4DBDE279"/>
    <w:rsid w:val="4DF76D31"/>
    <w:rsid w:val="4EA10F5B"/>
    <w:rsid w:val="4F8FBBB7"/>
    <w:rsid w:val="53AE130E"/>
    <w:rsid w:val="54126B22"/>
    <w:rsid w:val="5634013B"/>
    <w:rsid w:val="59F60752"/>
    <w:rsid w:val="5AE024B3"/>
    <w:rsid w:val="5B06161A"/>
    <w:rsid w:val="5BF3F5DB"/>
    <w:rsid w:val="5D73EB0F"/>
    <w:rsid w:val="5DB441EB"/>
    <w:rsid w:val="5FAF8891"/>
    <w:rsid w:val="5FEB447C"/>
    <w:rsid w:val="5FFF3B57"/>
    <w:rsid w:val="637E923A"/>
    <w:rsid w:val="667475E3"/>
    <w:rsid w:val="681720A1"/>
    <w:rsid w:val="69644429"/>
    <w:rsid w:val="6967948E"/>
    <w:rsid w:val="69F50189"/>
    <w:rsid w:val="6AF61F85"/>
    <w:rsid w:val="6BEFC759"/>
    <w:rsid w:val="6CDF7B6E"/>
    <w:rsid w:val="6D10785B"/>
    <w:rsid w:val="6DB225B5"/>
    <w:rsid w:val="6F7FAA52"/>
    <w:rsid w:val="6FCCC432"/>
    <w:rsid w:val="74780E9B"/>
    <w:rsid w:val="753DB783"/>
    <w:rsid w:val="75AE2995"/>
    <w:rsid w:val="76DE0256"/>
    <w:rsid w:val="76F01803"/>
    <w:rsid w:val="76FD4025"/>
    <w:rsid w:val="775F5CFD"/>
    <w:rsid w:val="77DC1E4A"/>
    <w:rsid w:val="77FF41BC"/>
    <w:rsid w:val="7A9E57BE"/>
    <w:rsid w:val="7AFE24C2"/>
    <w:rsid w:val="7F794F39"/>
    <w:rsid w:val="7F99257B"/>
    <w:rsid w:val="7FCBAC84"/>
    <w:rsid w:val="7FD41584"/>
    <w:rsid w:val="7FF7721E"/>
    <w:rsid w:val="7FFB9DDE"/>
    <w:rsid w:val="7FFFBBF5"/>
    <w:rsid w:val="8B7B0B20"/>
    <w:rsid w:val="8EF89037"/>
    <w:rsid w:val="9FDBD216"/>
    <w:rsid w:val="9FDF22AF"/>
    <w:rsid w:val="A767C6FA"/>
    <w:rsid w:val="AFEF12A9"/>
    <w:rsid w:val="BB9F0A90"/>
    <w:rsid w:val="BD7E508A"/>
    <w:rsid w:val="BDF73897"/>
    <w:rsid w:val="BFF918AC"/>
    <w:rsid w:val="BFFF775E"/>
    <w:rsid w:val="C5FF56F6"/>
    <w:rsid w:val="D5EFFE31"/>
    <w:rsid w:val="D7BF3952"/>
    <w:rsid w:val="DF1F1764"/>
    <w:rsid w:val="DFF38E79"/>
    <w:rsid w:val="DFFF4CDD"/>
    <w:rsid w:val="DFFFAD3C"/>
    <w:rsid w:val="E5FFE619"/>
    <w:rsid w:val="E7BBBE98"/>
    <w:rsid w:val="EB3F7952"/>
    <w:rsid w:val="EF5DBBE3"/>
    <w:rsid w:val="EF97CFE1"/>
    <w:rsid w:val="EFF7762A"/>
    <w:rsid w:val="F3FFCDF7"/>
    <w:rsid w:val="F6E2BF14"/>
    <w:rsid w:val="F7DF5369"/>
    <w:rsid w:val="F7F6AA91"/>
    <w:rsid w:val="F9FF6319"/>
    <w:rsid w:val="FA676BEA"/>
    <w:rsid w:val="FBAF3AC4"/>
    <w:rsid w:val="FDFACAC1"/>
    <w:rsid w:val="FEA20A9E"/>
    <w:rsid w:val="FEFFF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8440</Words>
  <Characters>9312</Characters>
  <Lines>65</Lines>
  <Paragraphs>18</Paragraphs>
  <TotalTime>9</TotalTime>
  <ScaleCrop>false</ScaleCrop>
  <LinksUpToDate>false</LinksUpToDate>
  <CharactersWithSpaces>9342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2022-04-12T19:31:00Z</dcterms:created>
  <dc:creator>雷雪怡</dc:creator>
  <cp:lastModifiedBy>叶冬竹</cp:lastModifiedBy>
  <cp:lastPrinted>2022-06-07T18:11:00Z</cp:lastPrinted>
  <dcterms:modified xsi:type="dcterms:W3CDTF">2022-09-27T07:24:00Z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78A4ED5BC7A949F997740DBB14C55765</vt:lpwstr>
  </property>
</Properties>
</file>