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广州市南沙区2020年度第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九十二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增减挂钩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17.0288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17.0228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2.7437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14.2791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14.7695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1.1167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13.6528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7.2655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0.2659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6.9996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0.1379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0.1379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2.4429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0.0725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2.3704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3.9588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0.5035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0.9644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0.1369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1.3414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0.8068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0.9119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0.8202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0.0917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广州市南沙区2020年度第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九十二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-38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17.0228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hint="eastAsia" w:ascii="宋体" w:hAnsi="宋体"/>
          <w:sz w:val="24"/>
        </w:rPr>
      </w:pP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14.7695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1.1167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13.6528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8.5817（含可调整地类1.3162）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0.3193（含可调整地类0.0534）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8.2624（含可调整地类1.2628）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涉及新增建设用地15.6814公顷，农用地14.7695公顷（耕地8.5817公顷，含可调整地类1.3162公顷）需转为建设用地，已列入广州市2021年度土地利用计划，已安排使用我市跨省调剂城乡建设用地增减挂钩节余指标15.6814公顷。</w:t>
            </w:r>
          </w:p>
        </w:tc>
      </w:tr>
    </w:tbl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6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（汇总）</w:t>
      </w:r>
    </w:p>
    <w:p>
      <w:pPr>
        <w:spacing w:line="5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广东省广州市南沙区万顷沙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沙尾一经济联合社、沙尾二经济联合社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0.0700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6.9296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2.3704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3.4553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0.8275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0.5346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0.0917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计量单位：公顷、万元、人、亩/人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321.2798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321.2798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6275.6645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按实际征收土地面积的1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%安排留用地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1.4280公顷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被征地农村集体经济组织已出具留用地落实到位证明，并已提供留用地对应的用地批复。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  <w:lang w:eastAsia="zh-CN"/>
        </w:rPr>
        <w:t>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广东省广州市南沙区万顷沙镇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沙尾一经济联合社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0.0700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6.5178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1.5738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2.6321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0.7836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0.2523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0.0546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计量单位：公顷、万元、人、亩/人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267.3945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267.3945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5223.1059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按实际征收土地面积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%安排留用地</w:t>
            </w:r>
            <w:r>
              <w:rPr>
                <w:rFonts w:hint="eastAsia" w:ascii="宋体" w:hAnsi="宋体" w:cs="Times New Roman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被征地农村集体经济组织已出具留用地落实到位证明，并已提供留用地对应的用地批复。</w:t>
            </w:r>
          </w:p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lang w:eastAsia="zh-CN"/>
        </w:rPr>
        <w:t>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广东省广州市南沙区万顷沙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沙尾二经济联合社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0.4118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0.7966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0.8232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0.0439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0.2823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0.0371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计量单位：公顷、万元、人、亩/人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53.8853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53.8853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1052.5586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按实际征收土地面积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%安排留用地</w:t>
            </w:r>
            <w:r>
              <w:rPr>
                <w:rFonts w:hint="eastAsia" w:ascii="宋体" w:hAnsi="宋体" w:cs="Times New Roman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zh-CN"/>
              </w:rPr>
              <w:t>被征地农村集体经济组织已出具留用地落实到位证明，并已提供留用地对应的用地批复。</w:t>
            </w:r>
          </w:p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</w:pPr>
      <w:bookmarkStart w:id="2" w:name="_GoBack"/>
      <w:bookmarkEnd w:id="2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4F3607A4"/>
    <w:rsid w:val="008277D1"/>
    <w:rsid w:val="01A40624"/>
    <w:rsid w:val="01EF2D14"/>
    <w:rsid w:val="09E71AA8"/>
    <w:rsid w:val="0DB24EC6"/>
    <w:rsid w:val="12E01B48"/>
    <w:rsid w:val="142D4D34"/>
    <w:rsid w:val="17606DB6"/>
    <w:rsid w:val="19EF5110"/>
    <w:rsid w:val="1FAA0829"/>
    <w:rsid w:val="20911AEA"/>
    <w:rsid w:val="27CF7ECB"/>
    <w:rsid w:val="2A162EC6"/>
    <w:rsid w:val="2C3471B5"/>
    <w:rsid w:val="2CC7757F"/>
    <w:rsid w:val="30010D3C"/>
    <w:rsid w:val="302645B5"/>
    <w:rsid w:val="35872A21"/>
    <w:rsid w:val="3B933AE0"/>
    <w:rsid w:val="3D115902"/>
    <w:rsid w:val="42880B52"/>
    <w:rsid w:val="4637045B"/>
    <w:rsid w:val="48634EED"/>
    <w:rsid w:val="496A6D9A"/>
    <w:rsid w:val="4A3E237C"/>
    <w:rsid w:val="4B006F6A"/>
    <w:rsid w:val="4C2C227D"/>
    <w:rsid w:val="4D6C035F"/>
    <w:rsid w:val="4D82585F"/>
    <w:rsid w:val="4F3607A4"/>
    <w:rsid w:val="50594172"/>
    <w:rsid w:val="593B2646"/>
    <w:rsid w:val="5B0622BD"/>
    <w:rsid w:val="5D6C590B"/>
    <w:rsid w:val="67C22F21"/>
    <w:rsid w:val="6A384DAD"/>
    <w:rsid w:val="6C805B26"/>
    <w:rsid w:val="6D555313"/>
    <w:rsid w:val="71916D15"/>
    <w:rsid w:val="7636642B"/>
    <w:rsid w:val="792A5F1B"/>
    <w:rsid w:val="7A7D283C"/>
    <w:rsid w:val="7ECB1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2130</Words>
  <Characters>2831</Characters>
  <Lines>0</Lines>
  <Paragraphs>0</Paragraphs>
  <TotalTime>3</TotalTime>
  <ScaleCrop>false</ScaleCrop>
  <LinksUpToDate>false</LinksUpToDate>
  <CharactersWithSpaces>3387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荏苒   </cp:lastModifiedBy>
  <cp:lastPrinted>2022-04-14T06:08:00Z</cp:lastPrinted>
  <dcterms:modified xsi:type="dcterms:W3CDTF">2022-09-06T08:44:35Z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3D68495EBFB74579B8AB9876A3C7DF2F</vt:lpwstr>
  </property>
  <property fmtid="{D5CDD505-2E9C-101B-9397-08002B2CF9AE}" pid="4" name="commondata">
    <vt:lpwstr>eyJoZGlkIjoiZjcxOTBmNzRkOTg4N2I2YWFmMmY4YzlmZmQxMjcxYTAifQ==</vt:lpwstr>
  </property>
</Properties>
</file>