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 w:eastAsia="宋体"/>
          <w:lang w:eastAsia="zh-CN"/>
        </w:rPr>
      </w:pPr>
      <w:r>
        <w:rPr>
          <w:rFonts w:hint="eastAsia"/>
          <w:b/>
          <w:bCs/>
          <w:color w:val="auto"/>
        </w:rPr>
        <w:t>附件</w:t>
      </w:r>
      <w:r>
        <w:rPr>
          <w:rFonts w:hint="eastAsia"/>
          <w:b/>
          <w:bCs/>
          <w:color w:val="auto"/>
          <w:lang w:val="en-US" w:eastAsia="zh-CN"/>
        </w:rPr>
        <w:t>5</w:t>
      </w:r>
      <w:bookmarkStart w:id="47" w:name="_GoBack"/>
      <w:bookmarkEnd w:id="47"/>
    </w:p>
    <w:p>
      <w:pPr>
        <w:ind w:left="210" w:right="210"/>
      </w:pPr>
    </w:p>
    <w:p>
      <w:pPr>
        <w:ind w:left="210" w:right="210"/>
      </w:pPr>
    </w:p>
    <w:p>
      <w:pPr>
        <w:ind w:left="210" w:right="210"/>
      </w:pPr>
    </w:p>
    <w:p>
      <w:pPr>
        <w:ind w:left="210" w:right="210"/>
        <w:rPr>
          <w:sz w:val="60"/>
          <w:szCs w:val="60"/>
        </w:rPr>
      </w:pPr>
    </w:p>
    <w:p>
      <w:pPr>
        <w:ind w:left="210" w:right="210"/>
        <w:jc w:val="center"/>
        <w:outlineLvl w:val="9"/>
        <w:rPr>
          <w:rFonts w:hint="eastAsia" w:ascii="黑体" w:hAnsi="黑体" w:eastAsia="黑体" w:cs="黑体"/>
          <w:sz w:val="60"/>
          <w:szCs w:val="60"/>
        </w:rPr>
      </w:pPr>
      <w:bookmarkStart w:id="0" w:name="_Toc6470"/>
      <w:r>
        <w:rPr>
          <w:rFonts w:hint="eastAsia" w:ascii="黑体" w:hAnsi="黑体" w:eastAsia="黑体" w:cs="黑体"/>
          <w:sz w:val="60"/>
          <w:szCs w:val="60"/>
        </w:rPr>
        <w:t>横沥镇庙贝社区旧酒厂改造</w:t>
      </w:r>
    </w:p>
    <w:p>
      <w:pPr>
        <w:ind w:left="210" w:right="210"/>
        <w:jc w:val="center"/>
        <w:outlineLvl w:val="9"/>
        <w:rPr>
          <w:rFonts w:hint="eastAsia" w:ascii="黑体" w:hAnsi="黑体" w:eastAsia="黑体" w:cs="黑体"/>
          <w:sz w:val="60"/>
          <w:szCs w:val="60"/>
        </w:rPr>
      </w:pPr>
      <w:r>
        <w:rPr>
          <w:rFonts w:hint="eastAsia" w:ascii="黑体" w:hAnsi="黑体" w:eastAsia="黑体" w:cs="黑体"/>
          <w:sz w:val="60"/>
          <w:szCs w:val="60"/>
        </w:rPr>
        <w:t>社区居民意见征询</w:t>
      </w:r>
    </w:p>
    <w:p>
      <w:pPr>
        <w:ind w:left="210" w:right="210"/>
        <w:jc w:val="center"/>
        <w:outlineLvl w:val="9"/>
        <w:rPr>
          <w:sz w:val="60"/>
          <w:szCs w:val="60"/>
        </w:rPr>
      </w:pPr>
      <w:r>
        <w:rPr>
          <w:rFonts w:hint="eastAsia" w:ascii="黑体" w:hAnsi="黑体" w:eastAsia="黑体" w:cs="黑体"/>
          <w:sz w:val="60"/>
          <w:szCs w:val="60"/>
        </w:rPr>
        <w:t>调查报告</w:t>
      </w:r>
      <w:bookmarkEnd w:id="0"/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pStyle w:val="2"/>
        <w:rPr>
          <w:rFonts w:ascii="宋体" w:hAnsi="宋体" w:eastAsia="宋体" w:cs="宋体"/>
          <w:sz w:val="24"/>
        </w:rPr>
      </w:pPr>
    </w:p>
    <w:p>
      <w:pPr>
        <w:pStyle w:val="2"/>
        <w:rPr>
          <w:rFonts w:ascii="宋体" w:hAnsi="宋体" w:eastAsia="宋体" w:cs="宋体"/>
          <w:sz w:val="24"/>
        </w:rPr>
      </w:pPr>
    </w:p>
    <w:p>
      <w:pPr>
        <w:pStyle w:val="2"/>
        <w:rPr>
          <w:rFonts w:ascii="宋体" w:hAnsi="宋体" w:eastAsia="宋体" w:cs="宋体"/>
          <w:sz w:val="24"/>
        </w:rPr>
      </w:pPr>
    </w:p>
    <w:p>
      <w:pPr>
        <w:pStyle w:val="2"/>
        <w:rPr>
          <w:rFonts w:ascii="宋体" w:hAnsi="宋体" w:eastAsia="宋体" w:cs="宋体"/>
          <w:sz w:val="24"/>
        </w:rPr>
      </w:pPr>
    </w:p>
    <w:p>
      <w:pPr>
        <w:pStyle w:val="2"/>
        <w:rPr>
          <w:rFonts w:ascii="宋体" w:hAnsi="宋体" w:eastAsia="宋体" w:cs="宋体"/>
          <w:sz w:val="24"/>
        </w:rPr>
      </w:pPr>
    </w:p>
    <w:p>
      <w:pPr>
        <w:widowControl/>
        <w:spacing w:line="360" w:lineRule="auto"/>
        <w:jc w:val="center"/>
        <w:outlineLvl w:val="9"/>
        <w:rPr>
          <w:rFonts w:ascii="微软雅黑" w:hAnsi="微软雅黑" w:eastAsia="微软雅黑" w:cs="微软雅黑"/>
          <w:sz w:val="32"/>
          <w:szCs w:val="32"/>
        </w:rPr>
      </w:pPr>
      <w:bookmarkStart w:id="1" w:name="_Toc15621"/>
      <w:r>
        <w:rPr>
          <w:rFonts w:hint="eastAsia" w:ascii="微软雅黑" w:hAnsi="微软雅黑" w:eastAsia="微软雅黑" w:cs="微软雅黑"/>
          <w:sz w:val="32"/>
          <w:szCs w:val="32"/>
        </w:rPr>
        <w:t>南沙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区</w:t>
      </w:r>
      <w:r>
        <w:rPr>
          <w:rFonts w:hint="eastAsia" w:ascii="微软雅黑" w:hAnsi="微软雅黑" w:eastAsia="微软雅黑" w:cs="微软雅黑"/>
          <w:sz w:val="32"/>
          <w:szCs w:val="32"/>
        </w:rPr>
        <w:t>社区设计师办公室</w:t>
      </w:r>
      <w:bookmarkEnd w:id="1"/>
    </w:p>
    <w:p>
      <w:pPr>
        <w:spacing w:line="360" w:lineRule="auto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2022年0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月</w:t>
      </w:r>
    </w:p>
    <w:p>
      <w:pPr>
        <w:spacing w:line="360" w:lineRule="auto"/>
        <w:jc w:val="center"/>
        <w:rPr>
          <w:rFonts w:ascii="宋体" w:hAnsi="宋体" w:eastAsia="宋体" w:cs="宋体"/>
          <w:sz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4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3583"/>
          <w:tab w:val="center" w:pos="42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auto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ab/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目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录</w:t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instrText xml:space="preserve">TOC \o "1-3" \h \u </w:instrText>
      </w: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instrText xml:space="preserve"> HYPERLINK \l _Toc19106 </w:instrTex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摘  要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</w:rPr>
        <w:instrText xml:space="preserve"> PAGEREF _Toc19106 \h </w:instrText>
      </w:r>
      <w:r>
        <w:rPr>
          <w:rFonts w:hint="eastAsia" w:ascii="楷体" w:hAnsi="楷体" w:eastAsia="楷体" w:cs="楷体"/>
          <w:sz w:val="24"/>
          <w:szCs w:val="24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>3</w:t>
      </w:r>
      <w:r>
        <w:rPr>
          <w:rFonts w:hint="eastAsia" w:ascii="楷体" w:hAnsi="楷体" w:eastAsia="楷体" w:cs="楷体"/>
          <w:sz w:val="24"/>
          <w:szCs w:val="24"/>
        </w:rPr>
        <w:fldChar w:fldCharType="end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instrText xml:space="preserve"> HYPERLINK \l _Toc26258 </w:instrTex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>一、 调查概况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</w:rPr>
        <w:instrText xml:space="preserve"> PAGEREF _Toc26258 \h </w:instrText>
      </w:r>
      <w:r>
        <w:rPr>
          <w:rFonts w:hint="eastAsia" w:ascii="楷体" w:hAnsi="楷体" w:eastAsia="楷体" w:cs="楷体"/>
          <w:sz w:val="24"/>
          <w:szCs w:val="24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>4</w:t>
      </w:r>
      <w:r>
        <w:rPr>
          <w:rFonts w:hint="eastAsia" w:ascii="楷体" w:hAnsi="楷体" w:eastAsia="楷体" w:cs="楷体"/>
          <w:sz w:val="24"/>
          <w:szCs w:val="24"/>
        </w:rPr>
        <w:fldChar w:fldCharType="end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instrText xml:space="preserve"> HYPERLINK \l _Toc11222 </w:instrTex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>（一） 背景与目的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</w:rPr>
        <w:instrText xml:space="preserve"> PAGEREF _Toc11222 \h </w:instrText>
      </w:r>
      <w:r>
        <w:rPr>
          <w:rFonts w:hint="eastAsia" w:ascii="楷体" w:hAnsi="楷体" w:eastAsia="楷体" w:cs="楷体"/>
          <w:sz w:val="24"/>
          <w:szCs w:val="24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>4</w:t>
      </w:r>
      <w:r>
        <w:rPr>
          <w:rFonts w:hint="eastAsia" w:ascii="楷体" w:hAnsi="楷体" w:eastAsia="楷体" w:cs="楷体"/>
          <w:sz w:val="24"/>
          <w:szCs w:val="24"/>
        </w:rPr>
        <w:fldChar w:fldCharType="end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instrText xml:space="preserve"> HYPERLINK \l _Toc27456 </w:instrTex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>（二） 调查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方法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</w:rPr>
        <w:instrText xml:space="preserve"> PAGEREF _Toc27456 \h </w:instrText>
      </w:r>
      <w:r>
        <w:rPr>
          <w:rFonts w:hint="eastAsia" w:ascii="楷体" w:hAnsi="楷体" w:eastAsia="楷体" w:cs="楷体"/>
          <w:sz w:val="24"/>
          <w:szCs w:val="24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>4</w:t>
      </w:r>
      <w:r>
        <w:rPr>
          <w:rFonts w:hint="eastAsia" w:ascii="楷体" w:hAnsi="楷体" w:eastAsia="楷体" w:cs="楷体"/>
          <w:sz w:val="24"/>
          <w:szCs w:val="24"/>
        </w:rPr>
        <w:fldChar w:fldCharType="end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instrText xml:space="preserve"> HYPERLINK \l _Toc12309 </w:instrTex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 xml:space="preserve">（三）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样本特征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</w:rPr>
        <w:instrText xml:space="preserve"> PAGEREF _Toc12309 \h </w:instrText>
      </w:r>
      <w:r>
        <w:rPr>
          <w:rFonts w:hint="eastAsia" w:ascii="楷体" w:hAnsi="楷体" w:eastAsia="楷体" w:cs="楷体"/>
          <w:sz w:val="24"/>
          <w:szCs w:val="24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>4</w:t>
      </w:r>
      <w:r>
        <w:rPr>
          <w:rFonts w:hint="eastAsia" w:ascii="楷体" w:hAnsi="楷体" w:eastAsia="楷体" w:cs="楷体"/>
          <w:sz w:val="24"/>
          <w:szCs w:val="24"/>
        </w:rPr>
        <w:fldChar w:fldCharType="end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instrText xml:space="preserve"> HYPERLINK \l _Toc19374 </w:instrTex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 xml:space="preserve">二、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问卷调查基本结论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</w:rPr>
        <w:instrText xml:space="preserve"> PAGEREF _Toc19374 \h </w:instrText>
      </w:r>
      <w:r>
        <w:rPr>
          <w:rFonts w:hint="eastAsia" w:ascii="楷体" w:hAnsi="楷体" w:eastAsia="楷体" w:cs="楷体"/>
          <w:sz w:val="24"/>
          <w:szCs w:val="24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>5</w:t>
      </w:r>
      <w:r>
        <w:rPr>
          <w:rFonts w:hint="eastAsia" w:ascii="楷体" w:hAnsi="楷体" w:eastAsia="楷体" w:cs="楷体"/>
          <w:sz w:val="24"/>
          <w:szCs w:val="24"/>
        </w:rPr>
        <w:fldChar w:fldCharType="end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instrText xml:space="preserve"> HYPERLINK \l _Toc16609 </w:instrTex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 xml:space="preserve">（一）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认知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</w:rPr>
        <w:instrText xml:space="preserve"> PAGEREF _Toc16609 \h </w:instrText>
      </w:r>
      <w:r>
        <w:rPr>
          <w:rFonts w:hint="eastAsia" w:ascii="楷体" w:hAnsi="楷体" w:eastAsia="楷体" w:cs="楷体"/>
          <w:sz w:val="24"/>
          <w:szCs w:val="24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>5</w:t>
      </w:r>
      <w:r>
        <w:rPr>
          <w:rFonts w:hint="eastAsia" w:ascii="楷体" w:hAnsi="楷体" w:eastAsia="楷体" w:cs="楷体"/>
          <w:sz w:val="24"/>
          <w:szCs w:val="24"/>
        </w:rPr>
        <w:fldChar w:fldCharType="end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instrText xml:space="preserve"> HYPERLINK \l _Toc30966 </w:instrTex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 xml:space="preserve">（二）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改造需求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</w:rPr>
        <w:instrText xml:space="preserve"> PAGEREF _Toc30966 \h </w:instrText>
      </w:r>
      <w:r>
        <w:rPr>
          <w:rFonts w:hint="eastAsia" w:ascii="楷体" w:hAnsi="楷体" w:eastAsia="楷体" w:cs="楷体"/>
          <w:sz w:val="24"/>
          <w:szCs w:val="24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>6</w:t>
      </w:r>
      <w:r>
        <w:rPr>
          <w:rFonts w:hint="eastAsia" w:ascii="楷体" w:hAnsi="楷体" w:eastAsia="楷体" w:cs="楷体"/>
          <w:sz w:val="24"/>
          <w:szCs w:val="24"/>
        </w:rPr>
        <w:fldChar w:fldCharType="end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instrText xml:space="preserve"> HYPERLINK \l _Toc4765 </w:instrTex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 xml:space="preserve">1．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功能用途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</w:rPr>
        <w:instrText xml:space="preserve"> PAGEREF _Toc4765 \h </w:instrText>
      </w:r>
      <w:r>
        <w:rPr>
          <w:rFonts w:hint="eastAsia" w:ascii="楷体" w:hAnsi="楷体" w:eastAsia="楷体" w:cs="楷体"/>
          <w:sz w:val="24"/>
          <w:szCs w:val="24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>6</w:t>
      </w:r>
      <w:r>
        <w:rPr>
          <w:rFonts w:hint="eastAsia" w:ascii="楷体" w:hAnsi="楷体" w:eastAsia="楷体" w:cs="楷体"/>
          <w:sz w:val="24"/>
          <w:szCs w:val="24"/>
        </w:rPr>
        <w:fldChar w:fldCharType="end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instrText xml:space="preserve"> HYPERLINK \l _Toc9504 </w:instrTex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 xml:space="preserve">2．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公厕配置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</w:rPr>
        <w:instrText xml:space="preserve"> PAGEREF _Toc9504 \h </w:instrText>
      </w:r>
      <w:r>
        <w:rPr>
          <w:rFonts w:hint="eastAsia" w:ascii="楷体" w:hAnsi="楷体" w:eastAsia="楷体" w:cs="楷体"/>
          <w:sz w:val="24"/>
          <w:szCs w:val="24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>7</w:t>
      </w:r>
      <w:r>
        <w:rPr>
          <w:rFonts w:hint="eastAsia" w:ascii="楷体" w:hAnsi="楷体" w:eastAsia="楷体" w:cs="楷体"/>
          <w:sz w:val="24"/>
          <w:szCs w:val="24"/>
        </w:rPr>
        <w:fldChar w:fldCharType="end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instrText xml:space="preserve"> HYPERLINK \l _Toc8091 </w:instrTex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 xml:space="preserve">3．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周边环境应具备特点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</w:rPr>
        <w:instrText xml:space="preserve"> PAGEREF _Toc8091 \h </w:instrText>
      </w:r>
      <w:r>
        <w:rPr>
          <w:rFonts w:hint="eastAsia" w:ascii="楷体" w:hAnsi="楷体" w:eastAsia="楷体" w:cs="楷体"/>
          <w:sz w:val="24"/>
          <w:szCs w:val="24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>7</w:t>
      </w:r>
      <w:r>
        <w:rPr>
          <w:rFonts w:hint="eastAsia" w:ascii="楷体" w:hAnsi="楷体" w:eastAsia="楷体" w:cs="楷体"/>
          <w:sz w:val="24"/>
          <w:szCs w:val="24"/>
        </w:rPr>
        <w:fldChar w:fldCharType="end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end"/>
      </w:r>
    </w:p>
    <w:p>
      <w:pPr>
        <w:pStyle w:val="11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instrText xml:space="preserve"> HYPERLINK \l _Toc26831 </w:instrTex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 xml:space="preserve">（三）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访谈基本结论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</w:rPr>
        <w:instrText xml:space="preserve"> PAGEREF _Toc26831 \h </w:instrText>
      </w:r>
      <w:r>
        <w:rPr>
          <w:rFonts w:hint="eastAsia" w:ascii="楷体" w:hAnsi="楷体" w:eastAsia="楷体" w:cs="楷体"/>
          <w:sz w:val="24"/>
          <w:szCs w:val="24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>8</w:t>
      </w:r>
      <w:r>
        <w:rPr>
          <w:rFonts w:hint="eastAsia" w:ascii="楷体" w:hAnsi="楷体" w:eastAsia="楷体" w:cs="楷体"/>
          <w:sz w:val="24"/>
          <w:szCs w:val="24"/>
        </w:rPr>
        <w:fldChar w:fldCharType="end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instrText xml:space="preserve"> HYPERLINK \l _Toc14136 </w:instrTex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 xml:space="preserve">1．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旧酒厂历史记忆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</w:rPr>
        <w:instrText xml:space="preserve"> PAGEREF _Toc14136 \h </w:instrText>
      </w:r>
      <w:r>
        <w:rPr>
          <w:rFonts w:hint="eastAsia" w:ascii="楷体" w:hAnsi="楷体" w:eastAsia="楷体" w:cs="楷体"/>
          <w:sz w:val="24"/>
          <w:szCs w:val="24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>8</w:t>
      </w:r>
      <w:r>
        <w:rPr>
          <w:rFonts w:hint="eastAsia" w:ascii="楷体" w:hAnsi="楷体" w:eastAsia="楷体" w:cs="楷体"/>
          <w:sz w:val="24"/>
          <w:szCs w:val="24"/>
        </w:rPr>
        <w:fldChar w:fldCharType="end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instrText xml:space="preserve"> HYPERLINK \l _Toc4641 </w:instrTex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2． 周边现状情况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</w:rPr>
        <w:instrText xml:space="preserve"> PAGEREF _Toc4641 \h </w:instrText>
      </w:r>
      <w:r>
        <w:rPr>
          <w:rFonts w:hint="eastAsia" w:ascii="楷体" w:hAnsi="楷体" w:eastAsia="楷体" w:cs="楷体"/>
          <w:sz w:val="24"/>
          <w:szCs w:val="24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>8</w:t>
      </w:r>
      <w:r>
        <w:rPr>
          <w:rFonts w:hint="eastAsia" w:ascii="楷体" w:hAnsi="楷体" w:eastAsia="楷体" w:cs="楷体"/>
          <w:sz w:val="24"/>
          <w:szCs w:val="24"/>
        </w:rPr>
        <w:fldChar w:fldCharType="end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end"/>
      </w:r>
    </w:p>
    <w:p>
      <w:pPr>
        <w:pStyle w:val="8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instrText xml:space="preserve"> HYPERLINK \l _Toc8804 </w:instrTex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3． 改造功能用途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</w:rPr>
        <w:instrText xml:space="preserve"> PAGEREF _Toc8804 \h </w:instrText>
      </w:r>
      <w:r>
        <w:rPr>
          <w:rFonts w:hint="eastAsia" w:ascii="楷体" w:hAnsi="楷体" w:eastAsia="楷体" w:cs="楷体"/>
          <w:sz w:val="24"/>
          <w:szCs w:val="24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>8</w:t>
      </w:r>
      <w:r>
        <w:rPr>
          <w:rFonts w:hint="eastAsia" w:ascii="楷体" w:hAnsi="楷体" w:eastAsia="楷体" w:cs="楷体"/>
          <w:sz w:val="24"/>
          <w:szCs w:val="24"/>
        </w:rPr>
        <w:fldChar w:fldCharType="end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instrText xml:space="preserve"> HYPERLINK \l _Toc29778 </w:instrText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t>附件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</w:rPr>
        <w:instrText xml:space="preserve"> PAGEREF _Toc29778 \h </w:instrText>
      </w:r>
      <w:r>
        <w:rPr>
          <w:rFonts w:hint="eastAsia" w:ascii="楷体" w:hAnsi="楷体" w:eastAsia="楷体" w:cs="楷体"/>
          <w:sz w:val="24"/>
          <w:szCs w:val="24"/>
        </w:rPr>
        <w:fldChar w:fldCharType="separate"/>
      </w:r>
      <w:r>
        <w:rPr>
          <w:rFonts w:hint="eastAsia" w:ascii="楷体" w:hAnsi="楷体" w:eastAsia="楷体" w:cs="楷体"/>
          <w:sz w:val="24"/>
          <w:szCs w:val="24"/>
        </w:rPr>
        <w:t>10</w:t>
      </w:r>
      <w:r>
        <w:rPr>
          <w:rFonts w:hint="eastAsia" w:ascii="楷体" w:hAnsi="楷体" w:eastAsia="楷体" w:cs="楷体"/>
          <w:sz w:val="24"/>
          <w:szCs w:val="24"/>
        </w:rPr>
        <w:fldChar w:fldCharType="end"/>
      </w: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bCs/>
          <w:sz w:val="24"/>
          <w:szCs w:val="24"/>
          <w:lang w:val="en-US" w:eastAsia="zh-CN"/>
        </w:rPr>
        <w:fldChar w:fldCharType="end"/>
      </w:r>
    </w:p>
    <w:p>
      <w:pPr>
        <w:jc w:val="center"/>
        <w:outlineLvl w:val="0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bookmarkStart w:id="2" w:name="_Toc15208"/>
      <w:bookmarkStart w:id="3" w:name="_Toc27552"/>
      <w:bookmarkStart w:id="4" w:name="_Toc19106"/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摘  要</w:t>
      </w:r>
      <w:bookmarkEnd w:id="2"/>
      <w:bookmarkEnd w:id="3"/>
      <w:bookmarkEnd w:id="4"/>
    </w:p>
    <w:p>
      <w:pPr>
        <w:pStyle w:val="4"/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为深入摸查横沥镇庙贝社区居民对旧酒厂的改造需求，征集意见建议，唤醒背后的历史记忆及故事，本次调研采用问卷调查+深度访谈的方式，问卷共回收有效答卷93份，访谈居委及居民代表共8人。问卷得出结论如下：</w:t>
      </w:r>
    </w:p>
    <w:p>
      <w:pPr>
        <w:pStyle w:val="4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关于旧酒厂改造后的功能用途，51.6%的受访者支持用于展览，访谈发现，居民多希望展示酒厂以前的工作场景、酿酒工艺、知青历史记忆等内容，但社区老人更希望改造成老年人活动中心。83.7%的受访者认为无必要设置公厕；关于旧酒厂周边环境应具备的特点，46.1%的受访者更希望标识醒目，其次是绿树林荫，占40.5%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rPr>
          <w:rFonts w:hint="default" w:ascii="楷体" w:hAnsi="楷体" w:eastAsia="楷体" w:cs="楷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br w:type="page"/>
      </w:r>
    </w:p>
    <w:p>
      <w:pPr>
        <w:pStyle w:val="3"/>
      </w:pPr>
      <w:bookmarkStart w:id="5" w:name="_Toc9778"/>
      <w:bookmarkStart w:id="6" w:name="_Toc31377"/>
      <w:bookmarkStart w:id="7" w:name="_Toc27952"/>
      <w:bookmarkStart w:id="8" w:name="_Toc6762"/>
      <w:bookmarkStart w:id="9" w:name="_Toc26258"/>
      <w:bookmarkStart w:id="10" w:name="_Toc9795"/>
      <w:bookmarkStart w:id="11" w:name="_Toc744"/>
      <w:r>
        <w:rPr>
          <w:rFonts w:hint="eastAsia"/>
        </w:rPr>
        <w:t>调查概况</w:t>
      </w:r>
      <w:bookmarkEnd w:id="5"/>
      <w:bookmarkEnd w:id="6"/>
      <w:bookmarkEnd w:id="7"/>
      <w:bookmarkEnd w:id="8"/>
      <w:bookmarkEnd w:id="9"/>
      <w:bookmarkEnd w:id="10"/>
      <w:bookmarkEnd w:id="11"/>
    </w:p>
    <w:p>
      <w:pPr>
        <w:pStyle w:val="5"/>
      </w:pPr>
      <w:bookmarkStart w:id="12" w:name="_Toc9649"/>
      <w:bookmarkStart w:id="13" w:name="_Toc3895"/>
      <w:bookmarkStart w:id="14" w:name="_Toc6721"/>
      <w:bookmarkStart w:id="15" w:name="_Toc1572"/>
      <w:bookmarkStart w:id="16" w:name="_Toc6341"/>
      <w:bookmarkStart w:id="17" w:name="_Toc13359"/>
      <w:bookmarkStart w:id="18" w:name="_Toc11222"/>
      <w:r>
        <w:rPr>
          <w:rFonts w:hint="eastAsia"/>
        </w:rPr>
        <w:t>背景</w:t>
      </w:r>
      <w:bookmarkEnd w:id="12"/>
      <w:bookmarkEnd w:id="13"/>
      <w:bookmarkEnd w:id="14"/>
      <w:bookmarkEnd w:id="15"/>
      <w:r>
        <w:rPr>
          <w:rFonts w:hint="eastAsia"/>
        </w:rPr>
        <w:t>与目的</w:t>
      </w:r>
      <w:bookmarkEnd w:id="16"/>
      <w:bookmarkEnd w:id="17"/>
      <w:bookmarkEnd w:id="18"/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贯彻落实党的十九大提出的“打造共建共治共享的社会治理格局”的要求和习近平总书记对广州提出的实现老城市新活力、“四个出新出彩”的重要指示，落实市政府印发的《广州市社区设计师工作方案》的工作部署，探索建立公众参与城市空间品质提升的平台，营造有品质、有活力的社区空间，南沙社区设计师办公室拟举办横沥镇庙贝社区旧酒厂改造设计竞赛，问计于民、问需于民，构建政府、专家、社区居民共建共治共享的城市治理格局，切实改善社区环境，增强群众获得感。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为提高规划编制的科学性，更全面深入了解庙贝社区居民对旧酒厂改造的需求及建议，提高公众参与成效，特开展此次问卷调查及深度访谈。</w:t>
      </w:r>
    </w:p>
    <w:p>
      <w:pPr>
        <w:pStyle w:val="5"/>
      </w:pPr>
      <w:bookmarkStart w:id="19" w:name="_Toc27456"/>
      <w:bookmarkStart w:id="20" w:name="_Toc30681"/>
      <w:bookmarkStart w:id="21" w:name="_Toc16236"/>
      <w:bookmarkStart w:id="22" w:name="_Toc2425"/>
      <w:bookmarkStart w:id="23" w:name="_Toc22605"/>
      <w:bookmarkStart w:id="24" w:name="_Toc25722"/>
      <w:bookmarkStart w:id="25" w:name="_Toc32025"/>
      <w:r>
        <w:rPr>
          <w:rFonts w:hint="eastAsia"/>
        </w:rPr>
        <w:t>调查</w:t>
      </w:r>
      <w:r>
        <w:rPr>
          <w:rFonts w:hint="eastAsia"/>
          <w:lang w:val="en-US" w:eastAsia="zh-CN"/>
        </w:rPr>
        <w:t>方法</w:t>
      </w:r>
      <w:bookmarkEnd w:id="19"/>
      <w:bookmarkEnd w:id="20"/>
      <w:bookmarkEnd w:id="21"/>
      <w:bookmarkEnd w:id="22"/>
    </w:p>
    <w:bookmarkEnd w:id="23"/>
    <w:bookmarkEnd w:id="24"/>
    <w:bookmarkEnd w:id="25"/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问卷调查：通过社区拦访+入户调查的方式，了解庙贝社区居民对旧酒厂的认知程度，改造后用途、配套功能及周边环境的需求及建议，共回收有效问卷93份。</w:t>
      </w:r>
    </w:p>
    <w:p>
      <w:pPr>
        <w:pStyle w:val="4"/>
        <w:bidi w:val="0"/>
      </w:pPr>
      <w:r>
        <w:rPr>
          <w:rFonts w:hint="eastAsia"/>
          <w:lang w:val="en-US" w:eastAsia="zh-CN"/>
        </w:rPr>
        <w:t>深度访谈：通过与居委工作人员、居民代表访谈，深入挖掘庙贝社区旧酒厂旧时的历史记忆及人文故事，并对改造后的功能用途提出意见建议，共访谈居委5人（访谈会），居民代表3人（深度访谈）。</w:t>
      </w:r>
    </w:p>
    <w:p>
      <w:pPr>
        <w:pStyle w:val="5"/>
      </w:pPr>
      <w:bookmarkStart w:id="26" w:name="_Toc12309"/>
      <w:bookmarkStart w:id="27" w:name="_Toc2918"/>
      <w:bookmarkStart w:id="28" w:name="_Toc10147"/>
      <w:r>
        <w:rPr>
          <w:rFonts w:hint="eastAsia"/>
          <w:lang w:val="en-US" w:eastAsia="zh-CN"/>
        </w:rPr>
        <w:t>样本特征</w:t>
      </w:r>
      <w:bookmarkEnd w:id="26"/>
      <w:bookmarkEnd w:id="27"/>
      <w:bookmarkEnd w:id="28"/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据调查，受访者中男性占55.6%，女性占比44.4%；年龄上以35-65岁的青中年为主，占56.5%，其次是65岁以上的老年人，为26.1%；户籍上本地居民占大多数，达83.9%，外来人员占16.1%。</w:t>
      </w:r>
    </w:p>
    <w:p>
      <w:pPr>
        <w:pStyle w:val="15"/>
        <w:bidi w:val="0"/>
      </w:pPr>
      <w:r>
        <w:drawing>
          <wp:inline distT="0" distB="0" distL="114300" distR="114300">
            <wp:extent cx="3959860" cy="2160270"/>
            <wp:effectExtent l="4445" t="4445" r="17145" b="698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/>
          <w:lang w:val="en-US" w:eastAsia="zh-CN"/>
        </w:rPr>
      </w:pPr>
      <w:r>
        <w:t xml:space="preserve">图1- </w:t>
      </w:r>
      <w:r>
        <w:fldChar w:fldCharType="begin"/>
      </w:r>
      <w:r>
        <w:instrText xml:space="preserve"> SEQ 图1-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  <w:lang w:val="en-US" w:eastAsia="zh-CN"/>
        </w:rPr>
        <w:t xml:space="preserve"> 受访者性别分布</w:t>
      </w:r>
    </w:p>
    <w:p>
      <w:pPr>
        <w:pStyle w:val="15"/>
        <w:bidi w:val="0"/>
        <w:rPr>
          <w:rFonts w:hint="eastAsia"/>
          <w:lang w:eastAsia="zh-CN"/>
        </w:rPr>
      </w:pPr>
      <w:r>
        <w:drawing>
          <wp:inline distT="0" distB="0" distL="114300" distR="114300">
            <wp:extent cx="3959860" cy="2160270"/>
            <wp:effectExtent l="4445" t="4445" r="17145" b="6985"/>
            <wp:docPr id="1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7"/>
        <w:jc w:val="center"/>
        <w:rPr>
          <w:rFonts w:hint="default" w:eastAsia="黑体"/>
          <w:lang w:val="en-US" w:eastAsia="zh-CN"/>
        </w:rPr>
      </w:pPr>
      <w:r>
        <w:t xml:space="preserve">图1- </w:t>
      </w:r>
      <w:r>
        <w:fldChar w:fldCharType="begin"/>
      </w:r>
      <w:r>
        <w:instrText xml:space="preserve"> SEQ 图1- \* ARABIC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  <w:lang w:val="en-US" w:eastAsia="zh-CN"/>
        </w:rPr>
        <w:t xml:space="preserve"> 受访者年龄分布</w:t>
      </w:r>
    </w:p>
    <w:p>
      <w:pPr>
        <w:pStyle w:val="15"/>
        <w:bidi w:val="0"/>
      </w:pPr>
      <w:r>
        <w:drawing>
          <wp:inline distT="0" distB="0" distL="114300" distR="114300">
            <wp:extent cx="3959860" cy="2160270"/>
            <wp:effectExtent l="4445" t="4445" r="17145" b="698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7"/>
        <w:jc w:val="center"/>
        <w:rPr>
          <w:rFonts w:hint="default" w:eastAsia="黑体"/>
          <w:lang w:val="en-US" w:eastAsia="zh-CN"/>
        </w:rPr>
      </w:pPr>
      <w:r>
        <w:t xml:space="preserve">图1- </w:t>
      </w:r>
      <w:r>
        <w:fldChar w:fldCharType="begin"/>
      </w:r>
      <w:r>
        <w:instrText xml:space="preserve"> SEQ 图1- \* ARABIC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  <w:lang w:val="en-US" w:eastAsia="zh-CN"/>
        </w:rPr>
        <w:t xml:space="preserve"> 受访者户籍分布</w:t>
      </w:r>
    </w:p>
    <w:p>
      <w:pPr>
        <w:pStyle w:val="3"/>
        <w:rPr>
          <w:rFonts w:hint="eastAsia"/>
        </w:rPr>
      </w:pPr>
      <w:bookmarkStart w:id="29" w:name="_Toc19374"/>
      <w:bookmarkStart w:id="30" w:name="_Toc742"/>
      <w:bookmarkStart w:id="31" w:name="_Toc1613"/>
      <w:r>
        <w:rPr>
          <w:rFonts w:hint="eastAsia"/>
          <w:lang w:val="en-US" w:eastAsia="zh-CN"/>
        </w:rPr>
        <w:t>问卷调查基本结论</w:t>
      </w:r>
      <w:bookmarkEnd w:id="29"/>
    </w:p>
    <w:p>
      <w:pPr>
        <w:pStyle w:val="5"/>
        <w:rPr>
          <w:rFonts w:hint="eastAsia"/>
        </w:rPr>
      </w:pPr>
      <w:bookmarkStart w:id="32" w:name="_Toc16609"/>
      <w:r>
        <w:rPr>
          <w:rFonts w:hint="eastAsia"/>
          <w:lang w:val="en-US" w:eastAsia="zh-CN"/>
        </w:rPr>
        <w:t>认知</w:t>
      </w:r>
      <w:bookmarkEnd w:id="32"/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居民对旧酒厂的认知度较高。</w:t>
      </w:r>
    </w:p>
    <w:p>
      <w:pPr>
        <w:pStyle w:val="4"/>
        <w:bidi w:val="0"/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调查显示，熟悉旧酒厂的受访者占49.5%，听说过占40.5%；仅9.6%的受访者表示不了解。</w:t>
      </w:r>
      <w:bookmarkEnd w:id="30"/>
      <w:bookmarkEnd w:id="31"/>
    </w:p>
    <w:p>
      <w:pPr>
        <w:pStyle w:val="15"/>
        <w:bidi w:val="0"/>
      </w:pPr>
      <w:r>
        <w:drawing>
          <wp:inline distT="0" distB="0" distL="114300" distR="114300">
            <wp:extent cx="3959860" cy="2160270"/>
            <wp:effectExtent l="4445" t="4445" r="17145" b="6985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pStyle w:val="7"/>
        <w:jc w:val="center"/>
        <w:rPr>
          <w:rFonts w:hint="default" w:eastAsia="黑体"/>
          <w:lang w:val="en-US" w:eastAsia="zh-CN"/>
        </w:rPr>
      </w:pPr>
      <w:r>
        <w:t xml:space="preserve">图2- </w:t>
      </w:r>
      <w:r>
        <w:fldChar w:fldCharType="begin"/>
      </w:r>
      <w:r>
        <w:instrText xml:space="preserve"> SEQ 图2-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  <w:lang w:val="en-US" w:eastAsia="zh-CN"/>
        </w:rPr>
        <w:t xml:space="preserve"> 受访者对旧酒厂的认知程度</w:t>
      </w:r>
    </w:p>
    <w:p>
      <w:pPr>
        <w:pStyle w:val="5"/>
      </w:pPr>
      <w:bookmarkStart w:id="33" w:name="_Toc30966"/>
      <w:bookmarkStart w:id="34" w:name="_Toc2704"/>
      <w:bookmarkStart w:id="35" w:name="_Toc20913"/>
      <w:r>
        <w:rPr>
          <w:rFonts w:hint="eastAsia"/>
          <w:lang w:val="en-US" w:eastAsia="zh-CN"/>
        </w:rPr>
        <w:t>改造需求</w:t>
      </w:r>
      <w:bookmarkEnd w:id="33"/>
      <w:bookmarkEnd w:id="34"/>
      <w:bookmarkEnd w:id="35"/>
    </w:p>
    <w:p>
      <w:pPr>
        <w:pStyle w:val="6"/>
      </w:pPr>
      <w:bookmarkStart w:id="36" w:name="_Toc19466"/>
      <w:bookmarkStart w:id="37" w:name="_Toc4765"/>
      <w:bookmarkStart w:id="38" w:name="_Toc29523"/>
      <w:r>
        <w:rPr>
          <w:rFonts w:hint="eastAsia"/>
          <w:lang w:val="en-US" w:eastAsia="zh-CN"/>
        </w:rPr>
        <w:t>功能用途</w:t>
      </w:r>
      <w:bookmarkEnd w:id="36"/>
      <w:bookmarkEnd w:id="37"/>
      <w:bookmarkEnd w:id="38"/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过半数居民希望旧酒厂改造后用于展览。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调查发现，51.6%的受访者支持改造后旧酒厂用于展览参观；其次依次为书屋14.3%，演艺12.1%，餐饮9.9%。</w:t>
      </w:r>
    </w:p>
    <w:p>
      <w:pPr>
        <w:pStyle w:val="15"/>
        <w:bidi w:val="0"/>
      </w:pPr>
      <w:r>
        <w:drawing>
          <wp:inline distT="0" distB="0" distL="114300" distR="114300">
            <wp:extent cx="3959860" cy="2160270"/>
            <wp:effectExtent l="4445" t="4445" r="17145" b="6985"/>
            <wp:docPr id="6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pStyle w:val="7"/>
        <w:spacing w:line="360" w:lineRule="auto"/>
        <w:jc w:val="center"/>
        <w:rPr>
          <w:rFonts w:hint="eastAsia"/>
          <w:lang w:val="en-US" w:eastAsia="zh-CN"/>
        </w:rPr>
      </w:pPr>
      <w:r>
        <w:t xml:space="preserve">图2- </w:t>
      </w:r>
      <w:r>
        <w:fldChar w:fldCharType="begin"/>
      </w:r>
      <w:r>
        <w:instrText xml:space="preserve"> SEQ 图2- \* ARABIC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  <w:lang w:val="en-US" w:eastAsia="zh-CN"/>
        </w:rPr>
        <w:t xml:space="preserve"> 受访者对旧酒厂改造的功能用途需求</w:t>
      </w:r>
    </w:p>
    <w:p>
      <w:pPr>
        <w:pStyle w:val="4"/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户籍分析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本地居民更希望旧酒厂改造用于展览，而外来人员则希望改造成书屋。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据调查，59.2%的本地受访者认为改造后旧酒厂用于展览更合适，40.0%的受访者支持改造成书屋。</w:t>
      </w:r>
    </w:p>
    <w:p>
      <w:pPr>
        <w:pStyle w:val="15"/>
        <w:bidi w:val="0"/>
      </w:pPr>
      <w:r>
        <w:drawing>
          <wp:inline distT="0" distB="0" distL="114300" distR="114300">
            <wp:extent cx="3959860" cy="2160270"/>
            <wp:effectExtent l="4445" t="4445" r="17145" b="6985"/>
            <wp:docPr id="8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pStyle w:val="7"/>
        <w:rPr>
          <w:rFonts w:hint="default" w:eastAsia="宋体"/>
          <w:lang w:val="en-US" w:eastAsia="zh-CN"/>
        </w:rPr>
      </w:pPr>
      <w:r>
        <w:t xml:space="preserve">图2- </w:t>
      </w:r>
      <w:r>
        <w:fldChar w:fldCharType="begin"/>
      </w:r>
      <w:r>
        <w:instrText xml:space="preserve"> SEQ 图2- \* ARABIC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  <w:lang w:val="en-US" w:eastAsia="zh-CN"/>
        </w:rPr>
        <w:t xml:space="preserve"> 本地与外地受访者对改造的需求</w:t>
      </w:r>
    </w:p>
    <w:p>
      <w:pPr>
        <w:pStyle w:val="6"/>
        <w:rPr>
          <w:rFonts w:hint="eastAsia"/>
        </w:rPr>
      </w:pPr>
      <w:bookmarkStart w:id="39" w:name="_Toc9504"/>
      <w:r>
        <w:rPr>
          <w:rFonts w:hint="eastAsia"/>
          <w:lang w:val="en-US" w:eastAsia="zh-CN"/>
        </w:rPr>
        <w:t>公厕配置</w:t>
      </w:r>
      <w:bookmarkEnd w:id="39"/>
    </w:p>
    <w:p>
      <w:pPr>
        <w:pStyle w:val="4"/>
        <w:rPr>
          <w:rFonts w:hint="eastAsia"/>
        </w:rPr>
      </w:pPr>
      <w:r>
        <w:rPr>
          <w:rFonts w:hint="eastAsia"/>
          <w:lang w:val="en-US" w:eastAsia="zh-CN"/>
        </w:rPr>
        <w:t>大多数居民认为不必再设置公厕。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</w:rPr>
        <w:t>调查显示，</w:t>
      </w:r>
      <w:r>
        <w:rPr>
          <w:rFonts w:hint="eastAsia"/>
          <w:lang w:val="en-US" w:eastAsia="zh-CN"/>
        </w:rPr>
        <w:t>83.7%的受访者认为无必要设置公厕，16.3%的受访者意见相反。</w:t>
      </w:r>
    </w:p>
    <w:p>
      <w:pPr>
        <w:pStyle w:val="15"/>
        <w:bidi w:val="0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3959860" cy="2160270"/>
            <wp:effectExtent l="4445" t="4445" r="17145" b="6985"/>
            <wp:docPr id="1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pStyle w:val="7"/>
        <w:bidi w:val="0"/>
        <w:rPr>
          <w:rFonts w:hint="default" w:eastAsia="黑体"/>
          <w:lang w:val="en-US" w:eastAsia="zh-CN"/>
        </w:rPr>
      </w:pPr>
      <w:r>
        <w:t xml:space="preserve">图2- </w:t>
      </w:r>
      <w:r>
        <w:fldChar w:fldCharType="begin"/>
      </w:r>
      <w:r>
        <w:instrText xml:space="preserve"> SEQ 图2- \* ARABIC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  <w:lang w:val="en-US" w:eastAsia="zh-CN"/>
        </w:rPr>
        <w:t xml:space="preserve"> 旧酒厂是否有设置公厕的必要性</w:t>
      </w:r>
    </w:p>
    <w:p>
      <w:pPr>
        <w:pStyle w:val="6"/>
      </w:pPr>
      <w:bookmarkStart w:id="40" w:name="_Toc8091"/>
      <w:r>
        <w:rPr>
          <w:rFonts w:hint="eastAsia"/>
          <w:lang w:val="en-US" w:eastAsia="zh-CN"/>
        </w:rPr>
        <w:t>周边环境应具备特点</w:t>
      </w:r>
      <w:bookmarkEnd w:id="40"/>
    </w:p>
    <w:p>
      <w:pPr>
        <w:pStyle w:val="4"/>
        <w:rPr>
          <w:rFonts w:hint="eastAsia" w:cs="仿宋"/>
          <w:sz w:val="24"/>
          <w:lang w:val="en-US" w:eastAsia="zh-CN"/>
        </w:rPr>
      </w:pPr>
      <w:r>
        <w:rPr>
          <w:rFonts w:hint="eastAsia" w:cs="仿宋"/>
          <w:sz w:val="24"/>
          <w:lang w:val="en-US" w:eastAsia="zh-CN"/>
        </w:rPr>
        <w:t>周边环境具备标识醒目与绿树林荫的特点更重要。</w:t>
      </w:r>
    </w:p>
    <w:p>
      <w:pPr>
        <w:pStyle w:val="4"/>
        <w:rPr>
          <w:rFonts w:hint="default" w:ascii="仿宋" w:hAnsi="仿宋" w:eastAsia="宋体" w:cs="仿宋"/>
          <w:sz w:val="24"/>
          <w:lang w:val="en-US" w:eastAsia="zh-CN"/>
        </w:rPr>
      </w:pPr>
      <w:r>
        <w:rPr>
          <w:rFonts w:hint="eastAsia" w:cs="仿宋"/>
          <w:sz w:val="24"/>
          <w:lang w:val="en-US" w:eastAsia="zh-CN"/>
        </w:rPr>
        <w:t>据调查，在周边环境应具备特点上，46.1%的受访者更希望标识醒目，其次是绿树林荫，占40.5%。</w:t>
      </w:r>
    </w:p>
    <w:p>
      <w:pPr>
        <w:pStyle w:val="15"/>
        <w:bidi w:val="0"/>
      </w:pPr>
      <w:r>
        <w:drawing>
          <wp:inline distT="0" distB="0" distL="114300" distR="114300">
            <wp:extent cx="3959860" cy="2160270"/>
            <wp:effectExtent l="4445" t="4445" r="17145" b="6985"/>
            <wp:docPr id="1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pStyle w:val="7"/>
        <w:spacing w:line="360" w:lineRule="auto"/>
        <w:jc w:val="center"/>
        <w:rPr>
          <w:rFonts w:hint="default" w:eastAsia="黑体"/>
          <w:lang w:val="en-US" w:eastAsia="zh-CN"/>
        </w:rPr>
      </w:pPr>
      <w:r>
        <w:t xml:space="preserve">图2- </w:t>
      </w:r>
      <w:r>
        <w:fldChar w:fldCharType="begin"/>
      </w:r>
      <w:r>
        <w:instrText xml:space="preserve"> SEQ 图2- \* ARABIC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  <w:lang w:val="en-US" w:eastAsia="zh-CN"/>
        </w:rPr>
        <w:t xml:space="preserve"> 受访者认为周边环境应具备的特点</w:t>
      </w:r>
    </w:p>
    <w:p>
      <w:pPr>
        <w:pStyle w:val="5"/>
        <w:rPr>
          <w:rFonts w:hint="eastAsia"/>
        </w:rPr>
      </w:pPr>
      <w:bookmarkStart w:id="41" w:name="_Toc26831"/>
      <w:bookmarkStart w:id="42" w:name="_Toc2701"/>
      <w:r>
        <w:rPr>
          <w:rFonts w:hint="eastAsia"/>
          <w:lang w:val="en-US" w:eastAsia="zh-CN"/>
        </w:rPr>
        <w:t>访谈基本结论</w:t>
      </w:r>
      <w:bookmarkEnd w:id="41"/>
    </w:p>
    <w:p>
      <w:pPr>
        <w:pStyle w:val="6"/>
        <w:rPr>
          <w:rFonts w:hint="eastAsia"/>
        </w:rPr>
      </w:pPr>
      <w:bookmarkStart w:id="43" w:name="_Toc14136"/>
      <w:r>
        <w:rPr>
          <w:rFonts w:hint="eastAsia"/>
          <w:lang w:val="en-US" w:eastAsia="zh-CN"/>
        </w:rPr>
        <w:t>旧酒厂历史记忆</w:t>
      </w:r>
      <w:bookmarkEnd w:id="43"/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旧酒厂建筑于1973年新建，初为维修所，80年代维修所搬迁后庙贝农场用于制酒，土法制纯米酒，名为“庙贝农场酒厂”，酒厂销售的酒物美价廉，风靡周边，远售至灵山、市桥一带，生产效益极好；酒厂职工来自五湖四海，少部分为本地职工，部分为知青，知青于70年代末80年代初大部回城，82年至83年全部回城。1985年后由“波记”（人名）承包，名为“波记酒厂”，后建水塔用于扩大再生产。千禧年后政府推行正规经营，当时需投资十数万更新生产线取代土法制酒，以符合环保标准，鉴于成本过高，波记退出承包，后荒废至今。</w:t>
      </w: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人民公社时期，酒厂每日开工前通过敲钟来提醒职工上班；闲暇时，职工以打篮球、打扑克、看电影等活动消遣时光。夏收时节，每逢将临下雨，晒谷场周边的男女老幼会自觉出来帮忙收谷，集体感强烈。</w:t>
      </w: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土法制纯米酒的流程：煮饭—摊开晾爽—踩酒饼（四方砖形状）—酒呈发酵—锅里蒸，以木糠、花生壳、煤等作为燃料，用鼓风机助燃。</w:t>
      </w:r>
    </w:p>
    <w:p>
      <w:pPr>
        <w:pStyle w:val="6"/>
        <w:rPr>
          <w:rFonts w:hint="eastAsia"/>
          <w:lang w:val="en-US" w:eastAsia="zh-CN"/>
        </w:rPr>
      </w:pPr>
      <w:bookmarkStart w:id="44" w:name="_Toc4641"/>
      <w:r>
        <w:rPr>
          <w:rFonts w:hint="eastAsia"/>
          <w:lang w:val="en-US" w:eastAsia="zh-CN"/>
        </w:rPr>
        <w:t>周边现状情况</w:t>
      </w:r>
      <w:bookmarkEnd w:id="44"/>
    </w:p>
    <w:p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旧酒厂前方是庙贝农场文体公园，有篮球场、乒乓球桌等，健体设施充足，还有儿童游乐设施，场地开阔，已设有厕所，周边绿化覆盖率较高，环境自然生态。水塔现被私用，若改造，居委可收回。</w:t>
      </w:r>
    </w:p>
    <w:p>
      <w:pPr>
        <w:pStyle w:val="6"/>
        <w:rPr>
          <w:rFonts w:hint="default"/>
          <w:lang w:val="en-US" w:eastAsia="zh-CN"/>
        </w:rPr>
      </w:pPr>
      <w:bookmarkStart w:id="45" w:name="_Toc8804"/>
      <w:r>
        <w:rPr>
          <w:rFonts w:hint="eastAsia"/>
          <w:lang w:val="en-US" w:eastAsia="zh-CN"/>
        </w:rPr>
        <w:t>改造功能用途</w:t>
      </w:r>
      <w:bookmarkEnd w:id="45"/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居委访谈：</w:t>
      </w:r>
      <w:r>
        <w:rPr>
          <w:rFonts w:hint="eastAsia"/>
          <w:lang w:val="en-US" w:eastAsia="zh-CN"/>
        </w:rPr>
        <w:t>功能用途方面，可建设成展览馆、图书馆、娱乐室、老年人活动中心等活动场馆；问及社区老人对老年人活动场所的需求时，居委工作人员表示，现社区中老年人比例很高，若建设成老年人活动场所，可让社区居民老有所养、老有所乐，给他们一个好的环境休闲娱乐。</w:t>
      </w:r>
      <w:r>
        <w:rPr>
          <w:rFonts w:hint="eastAsia" w:ascii="Times New Roman" w:eastAsia="宋体"/>
          <w:lang w:val="en-US" w:eastAsia="zh-CN"/>
        </w:rPr>
        <w:t>若</w:t>
      </w:r>
      <w:r>
        <w:rPr>
          <w:rFonts w:hint="eastAsia" w:ascii="Times New Roman"/>
          <w:lang w:val="en-US" w:eastAsia="zh-CN"/>
        </w:rPr>
        <w:t>旧酒厂</w:t>
      </w:r>
      <w:r>
        <w:rPr>
          <w:rFonts w:hint="eastAsia" w:ascii="Times New Roman" w:eastAsia="宋体"/>
          <w:lang w:val="en-US" w:eastAsia="zh-CN"/>
        </w:rPr>
        <w:t>用于老年人活动，</w:t>
      </w:r>
      <w:r>
        <w:rPr>
          <w:rFonts w:hint="eastAsia" w:ascii="Times New Roman"/>
          <w:lang w:val="en-US" w:eastAsia="zh-CN"/>
        </w:rPr>
        <w:t>可</w:t>
      </w:r>
      <w:r>
        <w:rPr>
          <w:rFonts w:hint="eastAsia" w:ascii="Times New Roman" w:eastAsia="宋体"/>
          <w:lang w:val="en-US" w:eastAsia="zh-CN"/>
        </w:rPr>
        <w:t>配套麻将</w:t>
      </w:r>
      <w:r>
        <w:rPr>
          <w:rFonts w:hint="eastAsia" w:ascii="Times New Roman"/>
          <w:lang w:val="en-US" w:eastAsia="zh-CN"/>
        </w:rPr>
        <w:t>桌</w:t>
      </w:r>
      <w:r>
        <w:rPr>
          <w:rFonts w:hint="eastAsia" w:ascii="Times New Roman" w:eastAsia="宋体"/>
          <w:lang w:val="en-US" w:eastAsia="zh-CN"/>
        </w:rPr>
        <w:t>、扑克、象棋等休闲娱乐设施</w:t>
      </w:r>
      <w:r>
        <w:rPr>
          <w:rFonts w:hint="eastAsia" w:ascii="Times New Roman"/>
          <w:lang w:val="en-US" w:eastAsia="zh-CN"/>
        </w:rPr>
        <w:t>。</w:t>
      </w: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若用于展览，希望展现人民公社时期的农场、知青等历史记忆，同时可展示旧酒厂土法制纯米酒的传统工艺文化。</w:t>
      </w:r>
    </w:p>
    <w:p>
      <w:pPr>
        <w:pStyle w:val="4"/>
        <w:rPr>
          <w:rFonts w:hint="eastAsia" w:ascii="Times New Roman" w:eastAsia="宋体"/>
          <w:lang w:val="en-US" w:eastAsia="zh-CN"/>
        </w:rPr>
      </w:pPr>
      <w:r>
        <w:rPr>
          <w:rFonts w:hint="eastAsia" w:ascii="Times New Roman" w:eastAsia="宋体"/>
          <w:lang w:val="en-US" w:eastAsia="zh-CN"/>
        </w:rPr>
        <w:t>管理方面，需要</w:t>
      </w:r>
      <w:r>
        <w:rPr>
          <w:rFonts w:hint="eastAsia" w:ascii="Times New Roman"/>
          <w:lang w:val="en-US" w:eastAsia="zh-CN"/>
        </w:rPr>
        <w:t>聘请</w:t>
      </w:r>
      <w:r>
        <w:rPr>
          <w:rFonts w:hint="eastAsia" w:ascii="Times New Roman" w:eastAsia="宋体"/>
          <w:lang w:val="en-US" w:eastAsia="zh-CN"/>
        </w:rPr>
        <w:t>专业人员进行管理</w:t>
      </w:r>
      <w:r>
        <w:rPr>
          <w:rFonts w:hint="eastAsia" w:ascii="Times New Roman"/>
          <w:lang w:val="en-US" w:eastAsia="zh-CN"/>
        </w:rPr>
        <w:t>运营，靠村民志愿者管理难以长久</w:t>
      </w:r>
      <w:r>
        <w:rPr>
          <w:rFonts w:hint="eastAsia" w:ascii="Times New Roman" w:eastAsia="宋体"/>
          <w:lang w:val="en-US" w:eastAsia="zh-CN"/>
        </w:rPr>
        <w:t>。</w:t>
      </w:r>
    </w:p>
    <w:p>
      <w:pPr>
        <w:pStyle w:val="4"/>
        <w:rPr>
          <w:rFonts w:hint="default" w:ascii="Times New Roman"/>
          <w:b w:val="0"/>
          <w:bCs w:val="0"/>
          <w:lang w:val="en-US" w:eastAsia="zh-CN"/>
        </w:rPr>
      </w:pPr>
      <w:r>
        <w:rPr>
          <w:rFonts w:hint="eastAsia" w:ascii="Times New Roman"/>
          <w:b/>
          <w:bCs/>
          <w:lang w:val="en-US" w:eastAsia="zh-CN"/>
        </w:rPr>
        <w:t>居民</w:t>
      </w:r>
      <w:r>
        <w:rPr>
          <w:rFonts w:hint="eastAsia"/>
          <w:b/>
          <w:bCs/>
          <w:lang w:val="en-US" w:eastAsia="zh-CN"/>
        </w:rPr>
        <w:t>访谈</w:t>
      </w:r>
      <w:r>
        <w:rPr>
          <w:rFonts w:hint="eastAsia" w:ascii="Times New Roman"/>
          <w:b/>
          <w:bCs/>
          <w:lang w:val="en-US" w:eastAsia="zh-CN"/>
        </w:rPr>
        <w:t>：</w:t>
      </w:r>
      <w:r>
        <w:rPr>
          <w:rFonts w:hint="eastAsia" w:ascii="Times New Roman"/>
          <w:b w:val="0"/>
          <w:bCs w:val="0"/>
          <w:lang w:val="en-US" w:eastAsia="zh-CN"/>
        </w:rPr>
        <w:t>多数居民希望酒厂改造后用做展览展示，展示酒厂以前的工作场景、酿酒工艺、知青历史记忆等。社区老人希望改造成老年人活动中心，</w:t>
      </w:r>
      <w:r>
        <w:rPr>
          <w:rFonts w:hint="eastAsia" w:ascii="Times New Roman"/>
          <w:lang w:val="en-US" w:eastAsia="zh-CN"/>
        </w:rPr>
        <w:t>配套空调、摇椅、象棋、扑克、麻将桌等设施；若实行社会化运营，愿作为志愿者，参与老年人活动中心的日常运营，维护设施，帮忙清洁打扫。</w:t>
      </w:r>
    </w:p>
    <w:bookmarkEnd w:id="42"/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46" w:name="_Toc29778"/>
      <w:r>
        <w:rPr>
          <w:rFonts w:hint="eastAsia" w:ascii="宋体" w:hAnsi="宋体" w:eastAsia="宋体" w:cs="宋体"/>
          <w:b/>
          <w:bCs/>
          <w:lang w:val="en-US" w:eastAsia="zh-CN"/>
        </w:rPr>
        <w:t>附件</w:t>
      </w:r>
      <w:bookmarkEnd w:id="46"/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横沥镇庙贝社区旧酒厂改造社区居民调查问卷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》</w:t>
      </w:r>
    </w:p>
    <w:p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敬爱的社区居民：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您好！庙贝社区拟对旧酒厂进行改造提升，为</w:t>
      </w:r>
      <w:r>
        <w:rPr>
          <w:rFonts w:hint="eastAsia"/>
        </w:rPr>
        <w:t>打造有温度的庙贝社区公共空间，</w:t>
      </w:r>
      <w:r>
        <w:rPr>
          <w:rFonts w:hint="eastAsia" w:ascii="宋体" w:hAnsi="宋体"/>
          <w:szCs w:val="21"/>
        </w:rPr>
        <w:t>南沙社区设计师办公室拟就旧酒厂改造提升项目问计于民、问需于民，</w:t>
      </w:r>
      <w:r>
        <w:rPr>
          <w:rFonts w:hint="eastAsia"/>
        </w:rPr>
        <w:t>构建政府、专家、社区居民共建共治共享的城市治理格局，切实改善社区环境，增强群众获得感。</w:t>
      </w:r>
      <w:r>
        <w:rPr>
          <w:rFonts w:hint="eastAsia" w:ascii="宋体" w:hAnsi="宋体"/>
          <w:szCs w:val="21"/>
        </w:rPr>
        <w:t>为了提高规划编制的科学性，加强规划的公众参与，我们恳请您参与本次民意调查活动。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rFonts w:ascii="宋体" w:hAnsi="宋体"/>
          <w:szCs w:val="21"/>
        </w:rPr>
      </w:pPr>
      <w:r>
        <w:rPr>
          <w:rFonts w:hint="eastAsia"/>
        </w:rPr>
        <w:t>我们承诺本问卷数据仅用于</w:t>
      </w:r>
      <w:r>
        <w:rPr>
          <w:rFonts w:hint="eastAsia"/>
          <w:lang w:val="en-US" w:eastAsia="zh-CN"/>
        </w:rPr>
        <w:t>庙贝社区旧酒厂设计竞赛公众意见参考</w:t>
      </w:r>
      <w:r>
        <w:rPr>
          <w:rFonts w:hint="eastAsia"/>
        </w:rPr>
        <w:t>。感</w:t>
      </w:r>
      <w:r>
        <w:rPr>
          <w:rFonts w:hint="eastAsia" w:ascii="宋体" w:hAnsi="宋体"/>
          <w:szCs w:val="21"/>
        </w:rPr>
        <w:t>谢您反馈的宝贵意见！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outlineLvl w:val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南沙社区设计师办公室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outlineLvl w:val="9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202</w:t>
      </w:r>
      <w:r>
        <w:rPr>
          <w:rFonts w:ascii="宋体" w:hAnsi="宋体"/>
          <w:bCs/>
          <w:szCs w:val="21"/>
        </w:rPr>
        <w:t>2</w:t>
      </w:r>
      <w:r>
        <w:rPr>
          <w:rFonts w:hint="eastAsia" w:ascii="宋体" w:hAnsi="宋体"/>
          <w:bCs/>
          <w:szCs w:val="21"/>
        </w:rPr>
        <w:t>年09月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b/>
          <w:bCs/>
          <w:sz w:val="24"/>
          <w:szCs w:val="32"/>
        </w:rPr>
      </w:pPr>
      <w:r>
        <w:rPr>
          <w:rFonts w:hint="eastAsia" w:ascii="宋体" w:hAnsi="宋体"/>
          <w:b/>
          <w:szCs w:val="21"/>
        </w:rPr>
        <w:t>庙贝社区旧酒厂现状：</w:t>
      </w:r>
    </w:p>
    <w:tbl>
      <w:tblPr>
        <w:tblStyle w:val="1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</w:rPr>
              <w:drawing>
                <wp:inline distT="0" distB="0" distL="114300" distR="114300">
                  <wp:extent cx="2565400" cy="2058670"/>
                  <wp:effectExtent l="0" t="0" r="6350" b="17780"/>
                  <wp:docPr id="9" name="图片 2" descr="微信图片_20220903114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微信图片_2022090311464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0" cy="205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</w:rPr>
              <w:drawing>
                <wp:inline distT="0" distB="0" distL="114300" distR="114300">
                  <wp:extent cx="2566670" cy="2059305"/>
                  <wp:effectExtent l="0" t="0" r="5080" b="17145"/>
                  <wp:docPr id="10" name="图片 3" descr="微信图片_20220903114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微信图片_2022090311472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670" cy="205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4261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</w:tbl>
    <w:p>
      <w:pPr>
        <w:pageBreakBefore w:val="0"/>
        <w:widowControl w:val="0"/>
        <w:numPr>
          <w:ilvl w:val="2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outlineLvl w:val="9"/>
      </w:pPr>
      <w:r>
        <w:rPr>
          <w:rFonts w:hint="eastAsia"/>
        </w:rPr>
        <w:t>您的性别：</w:t>
      </w:r>
    </w:p>
    <w:tbl>
      <w:tblPr>
        <w:tblStyle w:val="1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pStyle w:val="1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男</w:t>
            </w:r>
          </w:p>
        </w:tc>
        <w:tc>
          <w:tcPr>
            <w:tcW w:w="4261" w:type="dxa"/>
            <w:vAlign w:val="top"/>
          </w:tcPr>
          <w:p>
            <w:pPr>
              <w:pStyle w:val="1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女</w:t>
            </w:r>
          </w:p>
        </w:tc>
      </w:tr>
    </w:tbl>
    <w:p>
      <w:pPr>
        <w:pageBreakBefore w:val="0"/>
        <w:widowControl w:val="0"/>
        <w:numPr>
          <w:ilvl w:val="2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outlineLvl w:val="9"/>
      </w:pPr>
      <w:r>
        <w:rPr>
          <w:rFonts w:hint="eastAsia"/>
        </w:rPr>
        <w:t>您的年龄：</w:t>
      </w:r>
    </w:p>
    <w:tbl>
      <w:tblPr>
        <w:tblStyle w:val="1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130" w:type="dxa"/>
            <w:vAlign w:val="top"/>
          </w:tcPr>
          <w:p>
            <w:pPr>
              <w:pStyle w:val="1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18岁以下</w:t>
            </w:r>
          </w:p>
        </w:tc>
        <w:tc>
          <w:tcPr>
            <w:tcW w:w="2130" w:type="dxa"/>
            <w:vAlign w:val="top"/>
          </w:tcPr>
          <w:p>
            <w:pPr>
              <w:pStyle w:val="1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18-35岁</w:t>
            </w:r>
          </w:p>
        </w:tc>
        <w:tc>
          <w:tcPr>
            <w:tcW w:w="2131" w:type="dxa"/>
            <w:vAlign w:val="top"/>
          </w:tcPr>
          <w:p>
            <w:pPr>
              <w:pStyle w:val="1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35-65岁</w:t>
            </w:r>
          </w:p>
        </w:tc>
        <w:tc>
          <w:tcPr>
            <w:tcW w:w="2131" w:type="dxa"/>
            <w:vAlign w:val="top"/>
          </w:tcPr>
          <w:p>
            <w:pPr>
              <w:pStyle w:val="1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65岁以上</w:t>
            </w:r>
          </w:p>
        </w:tc>
      </w:tr>
    </w:tbl>
    <w:p>
      <w:pPr>
        <w:pageBreakBefore w:val="0"/>
        <w:widowControl w:val="0"/>
        <w:numPr>
          <w:ilvl w:val="2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outlineLvl w:val="9"/>
      </w:pPr>
      <w:r>
        <w:rPr>
          <w:rFonts w:hint="eastAsia"/>
        </w:rPr>
        <w:t>您是本地居民还是外来人员（游客）？</w:t>
      </w:r>
    </w:p>
    <w:tbl>
      <w:tblPr>
        <w:tblStyle w:val="1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pStyle w:val="1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本地居民</w:t>
            </w:r>
          </w:p>
        </w:tc>
        <w:tc>
          <w:tcPr>
            <w:tcW w:w="4261" w:type="dxa"/>
            <w:vAlign w:val="top"/>
          </w:tcPr>
          <w:p>
            <w:pPr>
              <w:pStyle w:val="1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外来人员（游客）</w:t>
            </w:r>
          </w:p>
        </w:tc>
      </w:tr>
    </w:tbl>
    <w:p>
      <w:pPr>
        <w:pageBreakBefore w:val="0"/>
        <w:widowControl w:val="0"/>
        <w:numPr>
          <w:ilvl w:val="2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outlineLvl w:val="9"/>
      </w:pPr>
      <w:r>
        <w:rPr>
          <w:rFonts w:hint="eastAsia"/>
        </w:rPr>
        <w:t>您了解旧酒厂吗？</w:t>
      </w:r>
    </w:p>
    <w:tbl>
      <w:tblPr>
        <w:tblStyle w:val="14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840"/>
        <w:gridCol w:w="2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839" w:type="dxa"/>
            <w:vAlign w:val="top"/>
          </w:tcPr>
          <w:p>
            <w:pPr>
              <w:pStyle w:val="1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不了解</w:t>
            </w:r>
          </w:p>
        </w:tc>
        <w:tc>
          <w:tcPr>
            <w:tcW w:w="2840" w:type="dxa"/>
            <w:vAlign w:val="top"/>
          </w:tcPr>
          <w:p>
            <w:pPr>
              <w:pStyle w:val="1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听说过</w:t>
            </w:r>
          </w:p>
        </w:tc>
        <w:tc>
          <w:tcPr>
            <w:tcW w:w="2841" w:type="dxa"/>
            <w:vAlign w:val="top"/>
          </w:tcPr>
          <w:p>
            <w:pPr>
              <w:pStyle w:val="1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很熟悉</w:t>
            </w:r>
          </w:p>
        </w:tc>
      </w:tr>
    </w:tbl>
    <w:p>
      <w:pPr>
        <w:pageBreakBefore w:val="0"/>
        <w:widowControl w:val="0"/>
        <w:numPr>
          <w:ilvl w:val="2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outlineLvl w:val="9"/>
      </w:pPr>
      <w:r>
        <w:rPr>
          <w:rFonts w:hint="eastAsia"/>
        </w:rPr>
        <w:t>若升级改造旧酒厂及其周边，进行活化利用，您最希望有什么功能？</w:t>
      </w:r>
    </w:p>
    <w:tbl>
      <w:tblPr>
        <w:tblStyle w:val="14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842"/>
        <w:gridCol w:w="285"/>
        <w:gridCol w:w="2280"/>
        <w:gridCol w:w="1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vAlign w:val="top"/>
          </w:tcPr>
          <w:p>
            <w:pPr>
              <w:pStyle w:val="1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展览</w:t>
            </w:r>
          </w:p>
        </w:tc>
        <w:tc>
          <w:tcPr>
            <w:tcW w:w="2127" w:type="dxa"/>
            <w:gridSpan w:val="2"/>
            <w:vAlign w:val="top"/>
          </w:tcPr>
          <w:p>
            <w:pPr>
              <w:pStyle w:val="1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演艺</w:t>
            </w:r>
          </w:p>
        </w:tc>
        <w:tc>
          <w:tcPr>
            <w:tcW w:w="2280" w:type="dxa"/>
            <w:vAlign w:val="top"/>
          </w:tcPr>
          <w:p>
            <w:pPr>
              <w:pStyle w:val="1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书屋</w:t>
            </w:r>
          </w:p>
        </w:tc>
        <w:tc>
          <w:tcPr>
            <w:tcW w:w="1878" w:type="dxa"/>
            <w:vAlign w:val="top"/>
          </w:tcPr>
          <w:p>
            <w:pPr>
              <w:pStyle w:val="1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餐饮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6" w:type="dxa"/>
            <w:gridSpan w:val="2"/>
            <w:vAlign w:val="top"/>
          </w:tcPr>
          <w:p>
            <w:pPr>
              <w:pStyle w:val="1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其他：</w:t>
            </w:r>
            <w:r>
              <w:rPr>
                <w:rFonts w:hint="eastAsia"/>
                <w:kern w:val="0"/>
                <w:u w:val="single"/>
              </w:rPr>
              <w:t xml:space="preserve">                 </w:t>
            </w:r>
          </w:p>
        </w:tc>
        <w:tc>
          <w:tcPr>
            <w:tcW w:w="285" w:type="dxa"/>
            <w:vAlign w:val="top"/>
          </w:tcPr>
          <w:p>
            <w:pPr>
              <w:pStyle w:val="1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kern w:val="0"/>
              </w:rPr>
            </w:pPr>
          </w:p>
        </w:tc>
        <w:tc>
          <w:tcPr>
            <w:tcW w:w="4158" w:type="dxa"/>
            <w:gridSpan w:val="2"/>
            <w:vAlign w:val="top"/>
          </w:tcPr>
          <w:p>
            <w:pPr>
              <w:pStyle w:val="1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kern w:val="0"/>
              </w:rPr>
            </w:pPr>
          </w:p>
        </w:tc>
      </w:tr>
    </w:tbl>
    <w:p>
      <w:pPr>
        <w:pageBreakBefore w:val="0"/>
        <w:widowControl w:val="0"/>
        <w:numPr>
          <w:ilvl w:val="2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outlineLvl w:val="9"/>
      </w:pPr>
      <w:r>
        <w:rPr>
          <w:rFonts w:hint="eastAsia"/>
        </w:rPr>
        <w:t>你认为旧酒厂有无设置公厕必要性？</w:t>
      </w:r>
    </w:p>
    <w:tbl>
      <w:tblPr>
        <w:tblStyle w:val="14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5"/>
        <w:gridCol w:w="4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5" w:type="dxa"/>
            <w:vAlign w:val="top"/>
          </w:tcPr>
          <w:p>
            <w:pPr>
              <w:pStyle w:val="1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有</w:t>
            </w:r>
          </w:p>
        </w:tc>
        <w:tc>
          <w:tcPr>
            <w:tcW w:w="4155" w:type="dxa"/>
            <w:vAlign w:val="top"/>
          </w:tcPr>
          <w:p>
            <w:pPr>
              <w:pStyle w:val="1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无</w:t>
            </w:r>
          </w:p>
        </w:tc>
      </w:tr>
    </w:tbl>
    <w:p>
      <w:pPr>
        <w:pageBreakBefore w:val="0"/>
        <w:widowControl w:val="0"/>
        <w:numPr>
          <w:ilvl w:val="2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outlineLvl w:val="9"/>
      </w:pPr>
      <w:r>
        <w:rPr>
          <w:rFonts w:hint="eastAsia"/>
        </w:rPr>
        <w:t>你认为旧酒厂周边环境应具备什么特点？</w:t>
      </w:r>
    </w:p>
    <w:tbl>
      <w:tblPr>
        <w:tblStyle w:val="14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2788"/>
        <w:gridCol w:w="2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0" w:type="dxa"/>
            <w:vAlign w:val="top"/>
          </w:tcPr>
          <w:p>
            <w:pPr>
              <w:pStyle w:val="1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标识醒目</w:t>
            </w:r>
          </w:p>
        </w:tc>
        <w:tc>
          <w:tcPr>
            <w:tcW w:w="2788" w:type="dxa"/>
            <w:vAlign w:val="top"/>
          </w:tcPr>
          <w:p>
            <w:pPr>
              <w:pStyle w:val="1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kern w:val="0"/>
              </w:rPr>
            </w:pPr>
            <w:r>
              <w:rPr>
                <w:rFonts w:hint="eastAsia"/>
                <w:kern w:val="0"/>
              </w:rPr>
              <w:t>绿树林荫</w:t>
            </w:r>
          </w:p>
        </w:tc>
        <w:tc>
          <w:tcPr>
            <w:tcW w:w="2791" w:type="dxa"/>
            <w:vAlign w:val="top"/>
          </w:tcPr>
          <w:p>
            <w:pPr>
              <w:pStyle w:val="1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无障碍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8" w:type="dxa"/>
            <w:gridSpan w:val="2"/>
            <w:vAlign w:val="top"/>
          </w:tcPr>
          <w:p>
            <w:pPr>
              <w:pStyle w:val="1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其他：</w:t>
            </w:r>
            <w:r>
              <w:rPr>
                <w:rFonts w:hint="eastAsia"/>
                <w:kern w:val="0"/>
                <w:u w:val="single"/>
              </w:rPr>
              <w:t xml:space="preserve">           </w:t>
            </w:r>
            <w:r>
              <w:rPr>
                <w:kern w:val="0"/>
                <w:u w:val="single"/>
              </w:rPr>
              <w:t xml:space="preserve">            </w:t>
            </w:r>
          </w:p>
        </w:tc>
        <w:tc>
          <w:tcPr>
            <w:tcW w:w="2791" w:type="dxa"/>
            <w:vAlign w:val="top"/>
          </w:tcPr>
          <w:p>
            <w:pPr>
              <w:pStyle w:val="1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outlineLvl w:val="9"/>
              <w:rPr>
                <w:rFonts w:hint="eastAsia"/>
                <w:kern w:val="0"/>
              </w:rPr>
            </w:pPr>
          </w:p>
        </w:tc>
      </w:tr>
    </w:tbl>
    <w:p>
      <w:pPr>
        <w:pageBreakBefore w:val="0"/>
        <w:widowControl w:val="0"/>
        <w:numPr>
          <w:ilvl w:val="2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outlineLvl w:val="9"/>
      </w:pPr>
      <w:r>
        <w:rPr>
          <w:rFonts w:hint="eastAsia"/>
        </w:rPr>
        <w:t>您对旧酒厂有哪些记忆？您和旧酒厂有什么故事？（选填）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u w:val="singl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u w:val="singl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u w:val="singl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Jj0CqkbAgAAIw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742B21"/>
    <w:multiLevelType w:val="multilevel"/>
    <w:tmpl w:val="BF742B21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Restart w:val="0"/>
      <w:suff w:val="nothing"/>
      <w:lvlText w:val="Q%3．"/>
      <w:lvlJc w:val="left"/>
      <w:pPr>
        <w:tabs>
          <w:tab w:val="left" w:pos="142"/>
        </w:tabs>
        <w:ind w:left="142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0AD4A693"/>
    <w:multiLevelType w:val="multilevel"/>
    <w:tmpl w:val="0AD4A693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C453E"/>
    <w:rsid w:val="6E7C453E"/>
    <w:rsid w:val="7EFC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numPr>
        <w:ilvl w:val="0"/>
        <w:numId w:val="1"/>
      </w:numPr>
      <w:spacing w:before="0" w:beforeLines="0" w:beforeAutospacing="0" w:after="0" w:afterLines="0" w:afterAutospacing="0" w:line="360" w:lineRule="auto"/>
      <w:outlineLvl w:val="0"/>
    </w:pPr>
    <w:rPr>
      <w:b/>
      <w:kern w:val="44"/>
      <w:sz w:val="24"/>
    </w:rPr>
  </w:style>
  <w:style w:type="paragraph" w:styleId="5">
    <w:name w:val="heading 2"/>
    <w:basedOn w:val="1"/>
    <w:next w:val="4"/>
    <w:unhideWhenUsed/>
    <w:qFormat/>
    <w:uiPriority w:val="0"/>
    <w:pPr>
      <w:keepNext/>
      <w:keepLines/>
      <w:numPr>
        <w:ilvl w:val="1"/>
        <w:numId w:val="1"/>
      </w:numPr>
      <w:spacing w:before="0" w:beforeLines="0" w:beforeAutospacing="0" w:after="0" w:afterLines="0" w:afterAutospacing="0" w:line="360" w:lineRule="auto"/>
      <w:outlineLvl w:val="1"/>
    </w:pPr>
    <w:rPr>
      <w:rFonts w:ascii="Arial" w:hAnsi="Arial"/>
      <w:b/>
      <w:sz w:val="24"/>
    </w:rPr>
  </w:style>
  <w:style w:type="paragraph" w:styleId="6">
    <w:name w:val="heading 3"/>
    <w:basedOn w:val="1"/>
    <w:next w:val="4"/>
    <w:unhideWhenUsed/>
    <w:qFormat/>
    <w:uiPriority w:val="0"/>
    <w:pPr>
      <w:keepNext/>
      <w:keepLines/>
      <w:numPr>
        <w:ilvl w:val="2"/>
        <w:numId w:val="1"/>
      </w:numPr>
      <w:spacing w:before="0" w:after="0" w:line="360" w:lineRule="auto"/>
      <w:ind w:firstLine="0"/>
      <w:outlineLvl w:val="2"/>
    </w:pPr>
    <w:rPr>
      <w:b/>
      <w:sz w:val="24"/>
    </w:rPr>
  </w:style>
  <w:style w:type="character" w:default="1" w:styleId="12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4">
    <w:name w:val="正文正"/>
    <w:basedOn w:val="1"/>
    <w:qFormat/>
    <w:uiPriority w:val="0"/>
    <w:pPr>
      <w:spacing w:line="360" w:lineRule="auto"/>
      <w:ind w:firstLine="560" w:firstLineChars="200"/>
    </w:pPr>
    <w:rPr>
      <w:rFonts w:hint="eastAsia" w:ascii="仿宋" w:hAnsi="仿宋" w:cs="仿宋"/>
      <w:sz w:val="24"/>
    </w:rPr>
  </w:style>
  <w:style w:type="paragraph" w:styleId="7">
    <w:name w:val="caption"/>
    <w:basedOn w:val="1"/>
    <w:next w:val="4"/>
    <w:unhideWhenUsed/>
    <w:qFormat/>
    <w:uiPriority w:val="0"/>
    <w:pPr>
      <w:jc w:val="center"/>
    </w:pPr>
    <w:rPr>
      <w:rFonts w:ascii="Arial" w:hAnsi="Arial" w:eastAsia="宋体"/>
    </w:r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表格"/>
    <w:basedOn w:val="1"/>
    <w:next w:val="1"/>
    <w:qFormat/>
    <w:uiPriority w:val="0"/>
    <w:pPr>
      <w:keepNext/>
      <w:numPr>
        <w:ilvl w:val="0"/>
        <w:numId w:val="0"/>
      </w:num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360" w:lineRule="auto"/>
      <w:ind w:left="0" w:firstLine="0"/>
      <w:jc w:val="center"/>
    </w:pPr>
    <w:rPr>
      <w:rFonts w:ascii="宋体" w:hAnsi="宋体" w:eastAsia="宋体" w:cs="微软雅黑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2.jpeg"/><Relationship Id="rId13" Type="http://schemas.openxmlformats.org/officeDocument/2006/relationships/image" Target="media/image1.png"/><Relationship Id="rId12" Type="http://schemas.openxmlformats.org/officeDocument/2006/relationships/chart" Target="charts/chart8.xml"/><Relationship Id="rId11" Type="http://schemas.openxmlformats.org/officeDocument/2006/relationships/chart" Target="charts/chart7.xml"/><Relationship Id="rId10" Type="http://schemas.openxmlformats.org/officeDocument/2006/relationships/chart" Target="charts/chart6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&#24037;&#20316;&#31807;1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&#24037;&#20316;&#31807;1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oleObject" Target="file:///D:\c&#30424;&#25991;&#20214;&#31227;&#21160;\&#31227;&#21160;&#25991;&#20214;\WeChat%20Files\wxid_zvsydy1jx7c522\FileStorage\File\2022-09\&#27178;&#27813;&#38215;&#24217;&#36125;&#31038;&#21306;&#26087;&#37202;&#21378;&#25913;&#36896;&#31038;&#21306;&#23621;&#27665;&#35843;&#26597;&#38382;&#21367;_&#32479;&#35745;&#25253;&#34920;_20220913171320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oleObject" Target="&#24037;&#20316;&#31807;1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&#24037;&#20316;&#31807;1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D:\Desktop\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rgbClr val="FFFFFF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[工作簿1]Sheet1!$K$25:$K$26</c:f>
              <c:strCache>
                <c:ptCount val="2"/>
                <c:pt idx="0">
                  <c:v>男</c:v>
                </c:pt>
                <c:pt idx="1">
                  <c:v>女</c:v>
                </c:pt>
              </c:strCache>
            </c:strRef>
          </c:cat>
          <c:val>
            <c:numRef>
              <c:f>[工作簿1]Sheet1!$L$25:$L$26</c:f>
              <c:numCache>
                <c:formatCode>0.0%</c:formatCode>
                <c:ptCount val="2"/>
                <c:pt idx="0">
                  <c:v>0.556</c:v>
                </c:pt>
                <c:pt idx="1">
                  <c:v>0.444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rgbClr val="FFFFFF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ysClr val="window" lastClr="FFFFFF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ysClr val="window" lastClr="FFFFFF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ysClr val="window" lastClr="FFFFFF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ysClr val="window" lastClr="FFFFFF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>
                        <a:lumMod val="75000"/>
                        <a:lumOff val="2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ysClr val="windowText" lastClr="000000">
                          <a:lumMod val="35000"/>
                          <a:lumOff val="65000"/>
                        </a:sys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[工作簿1]Sheet1!$C$9:$C$12</c:f>
              <c:strCache>
                <c:ptCount val="4"/>
                <c:pt idx="0">
                  <c:v>18岁以下</c:v>
                </c:pt>
                <c:pt idx="1">
                  <c:v>18-35岁</c:v>
                </c:pt>
                <c:pt idx="2">
                  <c:v>35-65岁</c:v>
                </c:pt>
                <c:pt idx="3">
                  <c:v>65岁以上</c:v>
                </c:pt>
              </c:strCache>
            </c:strRef>
          </c:cat>
          <c:val>
            <c:numRef>
              <c:f>[工作簿1]Sheet1!$D$9:$D$12</c:f>
              <c:numCache>
                <c:formatCode>0.0%</c:formatCode>
                <c:ptCount val="4"/>
                <c:pt idx="0">
                  <c:v>0.043</c:v>
                </c:pt>
                <c:pt idx="1">
                  <c:v>0.13</c:v>
                </c:pt>
                <c:pt idx="2">
                  <c:v>0.565</c:v>
                </c:pt>
                <c:pt idx="3">
                  <c:v>0.261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ysClr val="windowText" lastClr="000000">
          <a:lumMod val="15000"/>
          <a:lumOff val="85000"/>
        </a:sys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[工作簿1]Sheet1!$B$11:$B$12</c:f>
              <c:strCache>
                <c:ptCount val="2"/>
                <c:pt idx="0">
                  <c:v>本地居民</c:v>
                </c:pt>
                <c:pt idx="1">
                  <c:v>外来人员</c:v>
                </c:pt>
              </c:strCache>
            </c:strRef>
          </c:cat>
          <c:val>
            <c:numRef>
              <c:f>[工作簿1]Sheet1!$C$11:$C$12</c:f>
              <c:numCache>
                <c:formatCode>0.0%</c:formatCode>
                <c:ptCount val="2"/>
                <c:pt idx="0">
                  <c:v>0.839</c:v>
                </c:pt>
                <c:pt idx="1">
                  <c:v>0.161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0.0075106553418975"/>
                  <c:y val="0.094276584570684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'[横沥镇庙贝社区旧酒厂改造社区居民调查问卷_统计报表_20220913171320.xlsx]Q4'!$B$19:$B$21</c:f>
              <c:strCache>
                <c:ptCount val="3"/>
                <c:pt idx="0">
                  <c:v>不了解</c:v>
                </c:pt>
                <c:pt idx="1">
                  <c:v>听说过</c:v>
                </c:pt>
                <c:pt idx="2">
                  <c:v>很熟悉</c:v>
                </c:pt>
              </c:strCache>
            </c:strRef>
          </c:cat>
          <c:val>
            <c:numRef>
              <c:f>'[横沥镇庙贝社区旧酒厂改造社区居民调查问卷_统计报表_20220913171320.xlsx]Q4'!$C$19:$C$21</c:f>
              <c:numCache>
                <c:formatCode>0.0%</c:formatCode>
                <c:ptCount val="3"/>
                <c:pt idx="0">
                  <c:v>0.096</c:v>
                </c:pt>
                <c:pt idx="1">
                  <c:v>0.4086</c:v>
                </c:pt>
                <c:pt idx="2">
                  <c:v>0.4946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05"/>
          <c:y val="0.141666666666667"/>
          <c:w val="0.868180555555556"/>
          <c:h val="0.71166666666666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4F81B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[工作簿1]Sheet1!$J$120:$J$124</c:f>
              <c:strCache>
                <c:ptCount val="5"/>
                <c:pt idx="0">
                  <c:v>其他</c:v>
                </c:pt>
                <c:pt idx="1">
                  <c:v>餐饮</c:v>
                </c:pt>
                <c:pt idx="2">
                  <c:v>演艺</c:v>
                </c:pt>
                <c:pt idx="3">
                  <c:v>书屋</c:v>
                </c:pt>
                <c:pt idx="4">
                  <c:v>展览</c:v>
                </c:pt>
              </c:strCache>
            </c:strRef>
          </c:cat>
          <c:val>
            <c:numRef>
              <c:f>[工作簿1]Sheet1!$K$120:$K$124</c:f>
              <c:numCache>
                <c:formatCode>0.0%</c:formatCode>
                <c:ptCount val="5"/>
                <c:pt idx="0">
                  <c:v>0.121</c:v>
                </c:pt>
                <c:pt idx="1">
                  <c:v>0.099</c:v>
                </c:pt>
                <c:pt idx="2">
                  <c:v>0.121</c:v>
                </c:pt>
                <c:pt idx="3">
                  <c:v>0.143</c:v>
                </c:pt>
                <c:pt idx="4">
                  <c:v>0.516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0"/>
        <c:axId val="713913022"/>
        <c:axId val="977992489"/>
      </c:barChart>
      <c:catAx>
        <c:axId val="71391302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77992489"/>
        <c:crosses val="autoZero"/>
        <c:auto val="1"/>
        <c:lblAlgn val="ctr"/>
        <c:lblOffset val="100"/>
        <c:noMultiLvlLbl val="0"/>
      </c:catAx>
      <c:valAx>
        <c:axId val="97799248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1391302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[工作簿1]Sheet1!$C$32</c:f>
              <c:strCache>
                <c:ptCount val="1"/>
                <c:pt idx="0">
                  <c:v>展览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[工作簿1]Sheet1!$B$39:$B$40</c:f>
              <c:strCache>
                <c:ptCount val="2"/>
                <c:pt idx="0">
                  <c:v>本地居民</c:v>
                </c:pt>
                <c:pt idx="1">
                  <c:v>外来人员</c:v>
                </c:pt>
              </c:strCache>
            </c:strRef>
          </c:cat>
          <c:val>
            <c:numRef>
              <c:f>[工作簿1]Sheet1!$C$39:$C$40</c:f>
              <c:numCache>
                <c:formatCode>0.0%</c:formatCode>
                <c:ptCount val="2"/>
                <c:pt idx="0">
                  <c:v>0.592</c:v>
                </c:pt>
                <c:pt idx="1">
                  <c:v>0.133</c:v>
                </c:pt>
              </c:numCache>
            </c:numRef>
          </c:val>
        </c:ser>
        <c:ser>
          <c:idx val="1"/>
          <c:order val="1"/>
          <c:tx>
            <c:strRef>
              <c:f>[工作簿1]Sheet1!$D$32</c:f>
              <c:strCache>
                <c:ptCount val="1"/>
                <c:pt idx="0">
                  <c:v>演艺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[工作簿1]Sheet1!$B$39:$B$40</c:f>
              <c:strCache>
                <c:ptCount val="2"/>
                <c:pt idx="0">
                  <c:v>本地居民</c:v>
                </c:pt>
                <c:pt idx="1">
                  <c:v>外来人员</c:v>
                </c:pt>
              </c:strCache>
            </c:strRef>
          </c:cat>
          <c:val>
            <c:numRef>
              <c:f>[工作簿1]Sheet1!$D$39:$D$40</c:f>
              <c:numCache>
                <c:formatCode>0.0%</c:formatCode>
                <c:ptCount val="2"/>
                <c:pt idx="0">
                  <c:v>0.105</c:v>
                </c:pt>
                <c:pt idx="1">
                  <c:v>0.2</c:v>
                </c:pt>
              </c:numCache>
            </c:numRef>
          </c:val>
        </c:ser>
        <c:ser>
          <c:idx val="2"/>
          <c:order val="2"/>
          <c:tx>
            <c:strRef>
              <c:f>[工作簿1]Sheet1!$E$32</c:f>
              <c:strCache>
                <c:ptCount val="1"/>
                <c:pt idx="0">
                  <c:v>书屋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[工作簿1]Sheet1!$B$39:$B$40</c:f>
              <c:strCache>
                <c:ptCount val="2"/>
                <c:pt idx="0">
                  <c:v>本地居民</c:v>
                </c:pt>
                <c:pt idx="1">
                  <c:v>外来人员</c:v>
                </c:pt>
              </c:strCache>
            </c:strRef>
          </c:cat>
          <c:val>
            <c:numRef>
              <c:f>[工作簿1]Sheet1!$E$39:$E$40</c:f>
              <c:numCache>
                <c:formatCode>0.0%</c:formatCode>
                <c:ptCount val="2"/>
                <c:pt idx="0">
                  <c:v>0.092</c:v>
                </c:pt>
                <c:pt idx="1">
                  <c:v>0.4</c:v>
                </c:pt>
              </c:numCache>
            </c:numRef>
          </c:val>
        </c:ser>
        <c:ser>
          <c:idx val="3"/>
          <c:order val="3"/>
          <c:tx>
            <c:strRef>
              <c:f>[工作簿1]Sheet1!$F$32</c:f>
              <c:strCache>
                <c:ptCount val="1"/>
                <c:pt idx="0">
                  <c:v>餐饮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[工作簿1]Sheet1!$B$39:$B$40</c:f>
              <c:strCache>
                <c:ptCount val="2"/>
                <c:pt idx="0">
                  <c:v>本地居民</c:v>
                </c:pt>
                <c:pt idx="1">
                  <c:v>外来人员</c:v>
                </c:pt>
              </c:strCache>
            </c:strRef>
          </c:cat>
          <c:val>
            <c:numRef>
              <c:f>[工作簿1]Sheet1!$F$39:$F$40</c:f>
              <c:numCache>
                <c:formatCode>0.0%</c:formatCode>
                <c:ptCount val="2"/>
                <c:pt idx="0">
                  <c:v>0.079</c:v>
                </c:pt>
                <c:pt idx="1">
                  <c:v>0.2</c:v>
                </c:pt>
              </c:numCache>
            </c:numRef>
          </c:val>
        </c:ser>
        <c:ser>
          <c:idx val="4"/>
          <c:order val="4"/>
          <c:tx>
            <c:strRef>
              <c:f>[工作簿1]Sheet1!$G$32</c:f>
              <c:strCache>
                <c:ptCount val="1"/>
                <c:pt idx="0">
                  <c:v>其他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[工作簿1]Sheet1!$B$39:$B$40</c:f>
              <c:strCache>
                <c:ptCount val="2"/>
                <c:pt idx="0">
                  <c:v>本地居民</c:v>
                </c:pt>
                <c:pt idx="1">
                  <c:v>外来人员</c:v>
                </c:pt>
              </c:strCache>
            </c:strRef>
          </c:cat>
          <c:val>
            <c:numRef>
              <c:f>[工作簿1]Sheet1!$G$39:$G$40</c:f>
              <c:numCache>
                <c:formatCode>0.0%</c:formatCode>
                <c:ptCount val="2"/>
                <c:pt idx="0">
                  <c:v>0.132</c:v>
                </c:pt>
                <c:pt idx="1">
                  <c:v>0.067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5071033"/>
        <c:axId val="410265548"/>
      </c:barChart>
      <c:catAx>
        <c:axId val="15507103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10265548"/>
        <c:crosses val="autoZero"/>
        <c:auto val="1"/>
        <c:lblAlgn val="ctr"/>
        <c:lblOffset val="100"/>
        <c:noMultiLvlLbl val="0"/>
      </c:catAx>
      <c:valAx>
        <c:axId val="4102655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507103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[工作簿1]Sheet1!$B$4:$B$5</c:f>
              <c:strCache>
                <c:ptCount val="2"/>
                <c:pt idx="0">
                  <c:v>有必要</c:v>
                </c:pt>
                <c:pt idx="1">
                  <c:v>无必要</c:v>
                </c:pt>
              </c:strCache>
            </c:strRef>
          </c:cat>
          <c:val>
            <c:numRef>
              <c:f>[工作簿1]Sheet1!$C$4:$C$5</c:f>
              <c:numCache>
                <c:formatCode>0.0%</c:formatCode>
                <c:ptCount val="2"/>
                <c:pt idx="0">
                  <c:v>0.163</c:v>
                </c:pt>
                <c:pt idx="1">
                  <c:v>0.837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0.193703977501596"/>
                  <c:y val="-0.089127044192474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22797253870805"/>
                  <c:y val="0.10938172084110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405986841622467"/>
                  <c:y val="0.013628120307310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'[图.xlsx]Q7'!$B$19:$B$22</c:f>
              <c:strCache>
                <c:ptCount val="4"/>
                <c:pt idx="0">
                  <c:v>标识醒目</c:v>
                </c:pt>
                <c:pt idx="1">
                  <c:v>绿树林荫</c:v>
                </c:pt>
                <c:pt idx="2">
                  <c:v>无障碍</c:v>
                </c:pt>
                <c:pt idx="3">
                  <c:v>其他</c:v>
                </c:pt>
              </c:strCache>
            </c:strRef>
          </c:cat>
          <c:val>
            <c:numRef>
              <c:f>'[图.xlsx]Q7'!$C$19:$C$22</c:f>
              <c:numCache>
                <c:formatCode>0.0%</c:formatCode>
                <c:ptCount val="4"/>
                <c:pt idx="0">
                  <c:v>0.4607</c:v>
                </c:pt>
                <c:pt idx="1">
                  <c:v>0.4045</c:v>
                </c:pt>
                <c:pt idx="2">
                  <c:v>0.1011</c:v>
                </c:pt>
                <c:pt idx="3">
                  <c:v>0.0337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>
          <a:lumMod val="85000"/>
        </a:sys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rgbClr val="595959">
        <a:lumMod val="65000"/>
        <a:lumOff val="35000"/>
      </a:srgbClr>
    </cs:fontRef>
    <cs:defRPr sz="1000" kern="1200"/>
  </cs:axisTitle>
  <cs:categoryAxis>
    <cs:lnRef idx="0"/>
    <cs:fillRef idx="0"/>
    <cs:effectRef idx="0"/>
    <cs:fontRef idx="minor">
      <a:srgbClr val="595959">
        <a:lumMod val="65000"/>
        <a:lumOff val="35000"/>
      </a:srgbClr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hartArea>
  <cs:dataLabel>
    <cs:lnRef idx="0"/>
    <cs:fillRef idx="0"/>
    <cs:effectRef idx="0"/>
    <cs:fontRef idx="minor">
      <a:srgbClr val="404040">
        <a:lumMod val="75000"/>
        <a:lumOff val="25000"/>
      </a:srgbClr>
    </cs:fontRef>
    <cs:defRPr sz="900" kern="1200"/>
  </cs:dataLabel>
  <cs:dataLabelCallout>
    <cs:lnRef idx="0"/>
    <cs:fillRef idx="0"/>
    <cs:effectRef idx="0"/>
    <cs:fontRef idx="minor">
      <a:srgbClr val="595959">
        <a:lumMod val="65000"/>
        <a:lumOff val="3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rgbClr val="000000"/>
    </cs:fontRef>
    <cs:spPr>
      <a:ln w="19050">
        <a:solidFill>
          <a:srgbClr val="FFFFFF"/>
        </a:solidFill>
      </a:ln>
    </cs:spPr>
  </cs:dataPoint>
  <cs:dataPoint3D>
    <cs:lnRef idx="0"/>
    <cs:fillRef idx="1">
      <cs:styleClr val="auto"/>
    </cs:fillRef>
    <cs:effectRef idx="0"/>
    <cs:fontRef idx="minor">
      <a:srgbClr val="000000"/>
    </cs:fontRef>
    <cs:spPr>
      <a:ln w="25400">
        <a:solidFill>
          <a:srgbClr val="FFFFFF"/>
        </a:solidFill>
      </a:ln>
    </cs:spPr>
  </cs:dataPoint3D>
  <cs:dataPointLine>
    <cs:lnRef idx="0">
      <cs:styleClr val="auto"/>
    </cs:lnRef>
    <cs:fillRef idx="0"/>
    <cs:effectRef idx="0"/>
    <cs:fontRef idx="minor">
      <a:srgbClr val="000000"/>
    </cs:fontRef>
    <cs:spPr>
      <a:ln w="28575" cap="rnd">
        <a:solidFill>
          <a:srgbClr val="FFFFFF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595959">
        <a:lumMod val="65000"/>
        <a:lumOff val="35000"/>
      </a:srgbClr>
    </cs:fontRef>
    <cs:spPr>
      <a:noFill/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404040">
          <a:lumMod val="75000"/>
          <a:lumOff val="25000"/>
        </a:srgbClr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downBar>
  <cs:drop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dropLine>
  <cs:errorBar>
    <cs:lnRef idx="0"/>
    <cs:fillRef idx="0"/>
    <cs:effectRef idx="0"/>
    <cs:fontRef idx="minor">
      <a:srgbClr val="000000"/>
    </cs:fontRef>
    <cs:spPr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  <cs:spPr>
      <a:noFill/>
      <a:ln>
        <a:noFill/>
      </a:ln>
    </cs:spPr>
  </cs:floor>
  <cs:gridlineMajor>
    <cs:lnRef idx="0"/>
    <cs:fillRef idx="0"/>
    <cs:effectRef idx="0"/>
    <cs:fontRef idx="minor">
      <a:srgbClr val="000000"/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 w="9525" cap="flat" cmpd="sng" algn="ctr">
        <a:solidFill>
          <a:srgbClr val="F2F2F2">
            <a:lumMod val="5000"/>
            <a:lumOff val="95000"/>
          </a:srgbClr>
        </a:solidFill>
        <a:round/>
      </a:ln>
    </cs:spPr>
  </cs:gridlineMinor>
  <cs:hiLo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808080">
            <a:lumMod val="50000"/>
            <a:lumOff val="50000"/>
          </a:srgbClr>
        </a:solidFill>
        <a:round/>
      </a:ln>
    </cs:spPr>
  </cs:hiLoLine>
  <cs:leader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leaderLine>
  <cs:legend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legend>
  <cs:plotArea mods="allowNoFillOverride allowNoLineOverride">
    <cs:lnRef idx="0"/>
    <cs:fillRef idx="0"/>
    <cs:effectRef idx="0"/>
    <cs:fontRef idx="minor">
      <a:srgbClr val="000000"/>
    </cs:fontRef>
  </cs:plotArea>
  <cs:plotArea3D mods="allowNoFillOverride allowNoLineOverride"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seriesAxis>
  <cs:series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seriesLine>
  <cs:title>
    <cs:lnRef idx="0"/>
    <cs:fillRef idx="0"/>
    <cs:effectRef idx="0"/>
    <cs:fontRef idx="minor">
      <a:srgbClr val="595959">
        <a:lumMod val="65000"/>
        <a:lumOff val="35000"/>
      </a:srgb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upBar>
  <cs:value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valueAxis>
  <cs:wall>
    <cs:lnRef idx="0"/>
    <cs:fillRef idx="0"/>
    <cs:effectRef idx="0"/>
    <cs:fontRef idx="minor">
      <a:srgbClr val="000000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000" kern="1200"/>
  </cs:axisTitle>
  <cs:category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hartArea>
  <cs:dataLabel>
    <cs:lnRef idx="0"/>
    <cs:fillRef idx="0"/>
    <cs:effectRef idx="0"/>
    <cs:fontRef idx="minor">
      <a:sysClr val="windowText" lastClr="000000">
        <a:lumMod val="75000"/>
        <a:lumOff val="25000"/>
      </a:sysClr>
    </cs:fontRef>
    <cs:defRPr sz="900" kern="1200"/>
  </cs:dataLabel>
  <cs:dataLabelCallout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solidFill>
        <a:sysClr val="window" lastClr="FFFFFF"/>
      </a:solidFill>
      <a:ln>
        <a:solidFill>
          <a:sysClr val="windowText" lastClr="000000">
            <a:lumMod val="25000"/>
            <a:lumOff val="75000"/>
          </a:sys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ysClr val="windowText" lastClr="000000"/>
    </cs:fontRef>
    <cs:spPr>
      <a:ln w="19050">
        <a:solidFill>
          <a:sysClr val="window" lastClr="FFFFFF"/>
        </a:solidFill>
      </a:ln>
    </cs:spPr>
  </cs:dataPoint>
  <cs:dataPoint3D>
    <cs:lnRef idx="0"/>
    <cs:fillRef idx="1">
      <cs:styleClr val="auto"/>
    </cs:fillRef>
    <cs:effectRef idx="0"/>
    <cs:fontRef idx="minor">
      <a:sysClr val="windowText" lastClr="000000"/>
    </cs:fontRef>
    <cs:spPr>
      <a:ln w="25400">
        <a:solidFill>
          <a:sysClr val="window" lastClr="FFFFFF"/>
        </a:solidFill>
      </a:ln>
    </cs:spPr>
  </cs:dataPoint3D>
  <cs:dataPointLine>
    <cs:lnRef idx="0">
      <cs:styleClr val="auto"/>
    </cs:lnRef>
    <cs:fillRef idx="0"/>
    <cs:effectRef idx="0"/>
    <cs:fontRef idx="minor">
      <a:sysClr val="windowText" lastClr="000000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ysClr val="windowText" lastClr="000000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ysClr val="windowText" lastClr="000000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noFill/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dataTable>
  <cs:downBar>
    <cs:lnRef idx="0"/>
    <cs:fillRef idx="0"/>
    <cs:effectRef idx="0"/>
    <cs:fontRef idx="minor">
      <a:sysClr val="windowText" lastClr="000000"/>
    </cs:fontRef>
    <cs:spPr>
      <a:solidFill>
        <a:sysClr val="windowText" lastClr="000000">
          <a:lumMod val="75000"/>
          <a:lumOff val="25000"/>
        </a:sysClr>
      </a:solidFill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downBar>
  <cs:drop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dropLine>
  <cs:errorBa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errorBar>
  <cs:floor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floor>
  <cs:gridlineMaj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</cs:gridlineMajor>
  <cs:gridlineMin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"/>
            <a:lumOff val="95000"/>
          </a:sysClr>
        </a:solidFill>
        <a:round/>
      </a:ln>
    </cs:spPr>
  </cs:gridlineMinor>
  <cs:hiLo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0"/>
            <a:lumOff val="50000"/>
          </a:sysClr>
        </a:solidFill>
        <a:round/>
      </a:ln>
    </cs:spPr>
  </cs:hiLoLine>
  <cs:leader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leaderLine>
  <cs:legend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legend>
  <cs:plotArea mods="allowNoFillOverride allowNoLineOverride">
    <cs:lnRef idx="0"/>
    <cs:fillRef idx="0"/>
    <cs:effectRef idx="0"/>
    <cs:fontRef idx="minor">
      <a:sysClr val="windowText" lastClr="000000"/>
    </cs:fontRef>
  </cs:plotArea>
  <cs:plotArea3D mods="allowNoFillOverride allowNoLineOverride">
    <cs:lnRef idx="0"/>
    <cs:fillRef idx="0"/>
    <cs:effectRef idx="0"/>
    <cs:fontRef idx="minor">
      <a:sysClr val="windowText" lastClr="000000"/>
    </cs:fontRef>
  </cs:plotArea3D>
  <cs:series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seriesAxis>
  <cs:series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seriesLine>
  <cs: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ysClr val="windowText" lastClr="000000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trendlineLabel>
  <cs:upBar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upBar>
  <cs:value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valueAxis>
  <cs:wall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2022-09-16T16:57:00Z</dcterms:created>
  <dc:creator>彭麒</dc:creator>
  <cp:lastModifiedBy>梁永祥</cp:lastModifiedBy>
  <dcterms:modified xsi:type="dcterms:W3CDTF">2022-09-19T02:07:21Z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