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附件2</w:t>
      </w:r>
    </w:p>
    <w:p>
      <w:pPr>
        <w:adjustRightInd w:val="0"/>
        <w:snapToGrid w:val="0"/>
        <w:jc w:val="center"/>
        <w:rPr>
          <w:rFonts w:ascii="Times New Roman" w:hAnsi="Times New Roman" w:eastAsia="方正小标宋简体" w:cs="Times New Roman"/>
          <w:color w:val="000000"/>
          <w:sz w:val="44"/>
          <w:szCs w:val="44"/>
        </w:rPr>
      </w:pPr>
    </w:p>
    <w:p>
      <w:pPr>
        <w:adjustRightInd w:val="0"/>
        <w:snapToGrid w:val="0"/>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rPr>
        <w:t>2021</w:t>
      </w:r>
      <w:r>
        <w:rPr>
          <w:rFonts w:ascii="Times New Roman" w:hAnsi="Times New Roman" w:eastAsia="方正小标宋简体" w:cs="Times New Roman"/>
          <w:color w:val="000000"/>
          <w:sz w:val="44"/>
          <w:szCs w:val="44"/>
        </w:rPr>
        <w:t>年度</w:t>
      </w:r>
      <w:r>
        <w:rPr>
          <w:rFonts w:hint="eastAsia" w:ascii="Times New Roman" w:hAnsi="Times New Roman" w:eastAsia="方正小标宋简体" w:cs="Times New Roman"/>
          <w:color w:val="000000"/>
          <w:sz w:val="44"/>
          <w:szCs w:val="44"/>
        </w:rPr>
        <w:t>第二十七批次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被征地农民养老保障方案</w:t>
      </w:r>
      <w:r>
        <w:rPr>
          <w:rFonts w:hint="eastAsia" w:ascii="Times New Roman" w:hAnsi="Times New Roman" w:eastAsia="方正小标宋简体" w:cs="Times New Roman"/>
          <w:color w:val="000000"/>
          <w:sz w:val="44"/>
          <w:szCs w:val="44"/>
        </w:rPr>
        <w:t>（420.3720亩）</w:t>
      </w:r>
    </w:p>
    <w:p>
      <w:pPr>
        <w:rPr>
          <w:rFonts w:ascii="Times New Roman" w:hAnsi="Times New Roman" w:eastAsia="仿宋_GB2312" w:cs="Times New Roman"/>
          <w:kern w:val="0"/>
          <w:szCs w:val="32"/>
        </w:rPr>
      </w:pPr>
    </w:p>
    <w:p>
      <w:pPr>
        <w:spacing w:line="560" w:lineRule="exact"/>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w:t>
      </w:r>
      <w:r>
        <w:rPr>
          <w:rFonts w:ascii="Times New Roman" w:hAnsi="Times New Roman" w:eastAsia="仿宋_GB2312" w:cs="Times New Roman"/>
          <w:sz w:val="32"/>
          <w:szCs w:val="32"/>
        </w:rPr>
        <w:t>和国土地管理法》、</w:t>
      </w:r>
      <w:r>
        <w:rPr>
          <w:rFonts w:ascii="Times New Roman"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color w:val="000000"/>
          <w:kern w:val="0"/>
          <w:sz w:val="32"/>
          <w:szCs w:val="32"/>
          <w:shd w:val="clear" w:color="auto" w:fill="FFFFFF"/>
          <w:lang w:bidi="ar"/>
        </w:rPr>
        <w:t>劳社部发〔2007〕14号，下称劳社部发〔2007〕14号）、《广东省人民政府办公厅转发省人力资源社会保障厅关于进一步完善我省被征地农民养老保障工作意见的通知》（粤府办〔2021〕22号）</w:t>
      </w:r>
      <w:r>
        <w:rPr>
          <w:rFonts w:ascii="Times New Roman" w:hAnsi="Times New Roman" w:eastAsia="仿宋_GB2312" w:cs="Times New Roman"/>
          <w:kern w:val="0"/>
          <w:sz w:val="32"/>
          <w:szCs w:val="32"/>
          <w:shd w:val="clear" w:color="auto" w:fill="FFFFFF"/>
          <w:lang w:bidi="ar"/>
        </w:rPr>
        <w:t>第八条、原《转发省人力资源社会保障厅关于进一步做好我省被征地农民养老保障工作意见的通知》（粤府办〔2010〕41号）、《广州市人民政府办公厅关于印发广州市城乡居民养老保险实施办法的通知》（穗府办规﹝2021﹞8</w:t>
      </w:r>
      <w:r>
        <w:rPr>
          <w:rFonts w:ascii="Times New Roman" w:hAnsi="Times New Roman" w:eastAsia="仿宋_GB2312" w:cs="Times New Roman"/>
          <w:sz w:val="32"/>
          <w:szCs w:val="32"/>
        </w:rPr>
        <w:t>号）第九条</w:t>
      </w:r>
      <w:r>
        <w:rPr>
          <w:rFonts w:ascii="Times New Roman" w:hAnsi="Times New Roman" w:eastAsia="仿宋_GB2312" w:cs="Times New Roman"/>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广州市黄埔区（中新广州知识城）2021年</w:t>
      </w:r>
      <w:r>
        <w:rPr>
          <w:rFonts w:hint="eastAsia" w:ascii="Times New Roman" w:hAnsi="Times New Roman" w:eastAsia="仿宋_GB2312" w:cs="Times New Roman"/>
          <w:sz w:val="32"/>
          <w:szCs w:val="32"/>
        </w:rPr>
        <w:t>度第二十七批次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（420.3720亩）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rPr>
        <w:t>2021年度第二十七批次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（420.3720亩）</w:t>
      </w:r>
      <w:r>
        <w:rPr>
          <w:rFonts w:ascii="Times New Roman" w:hAnsi="Times New Roman" w:eastAsia="黑体" w:cs="Times New Roman"/>
          <w:kern w:val="0"/>
          <w:sz w:val="32"/>
          <w:szCs w:val="32"/>
        </w:rPr>
        <w:t>涉及的被征地农民实施社会养老保障。</w:t>
      </w:r>
      <w:r>
        <w:rPr>
          <w:rFonts w:hint="eastAsia" w:ascii="仿宋_GB2312" w:hAnsi="仿宋_GB2312" w:eastAsia="仿宋_GB2312" w:cs="仿宋_GB2312"/>
          <w:sz w:val="32"/>
          <w:szCs w:val="32"/>
        </w:rPr>
        <w:t>依据广</w:t>
      </w:r>
      <w:r>
        <w:rPr>
          <w:rFonts w:ascii="Times New Roman" w:hAnsi="Times New Roman" w:eastAsia="仿宋_GB2312" w:cs="Times New Roman"/>
          <w:sz w:val="32"/>
          <w:szCs w:val="32"/>
        </w:rPr>
        <w:t>州市规划和自然资源局黄埔区分局、广州开发区规划和自然资源局提供情况，该项目征地双方于2021年8月前全部完成征地补偿安置协议签订，按</w:t>
      </w:r>
      <w:r>
        <w:rPr>
          <w:rFonts w:ascii="Times New Roman" w:hAnsi="Times New Roman" w:eastAsia="仿宋_GB2312" w:cs="Times New Roman"/>
          <w:kern w:val="0"/>
          <w:sz w:val="32"/>
          <w:szCs w:val="32"/>
          <w:shd w:val="clear" w:color="auto" w:fill="FFFFFF"/>
          <w:lang w:bidi="ar"/>
        </w:rPr>
        <w:t>粤府办〔2021〕22号文第八点规定执行原征地社保政策</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黑体" w:cs="Times New Roman"/>
          <w:kern w:val="0"/>
          <w:sz w:val="32"/>
          <w:szCs w:val="32"/>
        </w:rPr>
        <w:t>二、</w:t>
      </w:r>
      <w:r>
        <w:rPr>
          <w:rFonts w:ascii="Times New Roman" w:hAnsi="Times New Roman"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广州市黄埔区（中新广州知识城）2021年度第二十七批次城镇建设用地（420.3720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shd w:val="clear" w:color="auto" w:fill="FFFFFF"/>
          <w:lang w:bidi="ar"/>
        </w:rPr>
        <w:t>征用我</w:t>
      </w:r>
      <w:r>
        <w:rPr>
          <w:rFonts w:ascii="Times New Roman" w:hAnsi="Times New Roman" w:eastAsia="仿宋_GB2312" w:cs="Times New Roman"/>
          <w:color w:val="000000"/>
          <w:sz w:val="32"/>
          <w:szCs w:val="32"/>
          <w:lang w:bidi="ar"/>
        </w:rPr>
        <w:t>区九佛街枫下村、凤尾村、红卫村面积共420.3720亩（其中：</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亩属于被征地单位留用地）。</w:t>
      </w:r>
      <w:r>
        <w:rPr>
          <w:rFonts w:ascii="Times New Roman" w:hAnsi="Times New Roman" w:eastAsia="仿宋_GB2312" w:cs="Times New Roman"/>
          <w:color w:val="000000"/>
          <w:kern w:val="0"/>
          <w:sz w:val="32"/>
          <w:szCs w:val="32"/>
        </w:rPr>
        <w:t>该项目</w:t>
      </w:r>
      <w:r>
        <w:rPr>
          <w:rFonts w:ascii="Times New Roman" w:hAnsi="Times New Roman" w:eastAsia="仿宋_GB2312" w:cs="Times New Roman"/>
          <w:color w:val="000000"/>
          <w:sz w:val="32"/>
          <w:szCs w:val="32"/>
        </w:rPr>
        <w:t>涉及的被征地</w:t>
      </w:r>
      <w:r>
        <w:rPr>
          <w:rFonts w:ascii="Times New Roman" w:hAnsi="Times New Roman" w:eastAsia="仿宋_GB2312" w:cs="Times New Roman"/>
          <w:color w:val="000000"/>
          <w:kern w:val="0"/>
          <w:sz w:val="32"/>
          <w:szCs w:val="32"/>
        </w:rPr>
        <w:t>单位留用地按规定不计提征地社保费，其余被征土地涉</w:t>
      </w:r>
      <w:r>
        <w:rPr>
          <w:rFonts w:ascii="Times New Roman" w:hAnsi="Times New Roman" w:eastAsia="仿宋_GB2312" w:cs="Times New Roman"/>
          <w:color w:val="000000"/>
          <w:sz w:val="32"/>
          <w:szCs w:val="32"/>
        </w:rPr>
        <w:t>及</w:t>
      </w:r>
      <w:r>
        <w:rPr>
          <w:rFonts w:ascii="Times New Roman" w:hAnsi="Times New Roman" w:eastAsia="仿宋_GB2312" w:cs="Times New Roman"/>
          <w:kern w:val="0"/>
          <w:sz w:val="32"/>
          <w:szCs w:val="32"/>
          <w:shd w:val="clear" w:color="auto" w:fill="FFFFFF"/>
          <w:lang w:bidi="ar"/>
        </w:rPr>
        <w:t>应纳入养老保障范围的被征地农民</w:t>
      </w:r>
      <w:r>
        <w:rPr>
          <w:rFonts w:ascii="Times New Roman" w:hAnsi="Times New Roman" w:eastAsia="仿宋_GB2312" w:cs="Times New Roman"/>
          <w:sz w:val="32"/>
          <w:szCs w:val="32"/>
        </w:rPr>
        <w:t>共</w:t>
      </w:r>
      <w:r>
        <w:rPr>
          <w:rFonts w:hint="eastAsia" w:ascii="Times New Roman" w:hAnsi="Times New Roman" w:eastAsia="仿宋_GB2312" w:cs="Times New Roman"/>
          <w:sz w:val="32"/>
          <w:szCs w:val="32"/>
        </w:rPr>
        <w:t>89</w:t>
      </w:r>
      <w:r>
        <w:rPr>
          <w:rFonts w:ascii="Times New Roman" w:hAnsi="Times New Roman" w:eastAsia="仿宋_GB2312" w:cs="Times New Roman"/>
          <w:sz w:val="32"/>
          <w:szCs w:val="32"/>
        </w:rPr>
        <w:t>人。具体</w:t>
      </w:r>
      <w:r>
        <w:rPr>
          <w:rFonts w:ascii="Times New Roman"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ascii="Times New Roman" w:hAnsi="Times New Roman" w:eastAsia="仿宋_GB2312" w:cs="Times New Roman"/>
          <w:color w:val="000000"/>
          <w:sz w:val="32"/>
          <w:szCs w:val="32"/>
        </w:rPr>
        <w:t>后确定，</w:t>
      </w:r>
      <w:r>
        <w:rPr>
          <w:rFonts w:ascii="Times New Roman" w:hAnsi="Times New Roman" w:eastAsia="仿宋_GB2312" w:cs="Times New Roman"/>
          <w:sz w:val="32"/>
          <w:szCs w:val="32"/>
        </w:rPr>
        <w:t>送所属社会保险经办部门办理相关社保手续。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kern w:val="0"/>
          <w:sz w:val="32"/>
          <w:szCs w:val="32"/>
          <w:shd w:val="clear" w:color="auto" w:fill="FFFFFF"/>
          <w:lang w:bidi="ar"/>
        </w:rPr>
        <w:t>征地主体（用地单位）按每人16200元的标准和</w:t>
      </w:r>
      <w:r>
        <w:rPr>
          <w:rFonts w:ascii="Times New Roman" w:hAnsi="Times New Roman" w:eastAsia="仿宋_GB2312" w:cs="Times New Roman"/>
          <w:color w:val="000000"/>
          <w:sz w:val="32"/>
          <w:szCs w:val="32"/>
        </w:rPr>
        <w:t>应纳入养老保障范围的被</w:t>
      </w:r>
      <w:r>
        <w:rPr>
          <w:rFonts w:ascii="Times New Roman" w:hAnsi="Times New Roman" w:eastAsia="仿宋_GB2312" w:cs="Times New Roman"/>
          <w:color w:val="000000"/>
          <w:kern w:val="0"/>
          <w:sz w:val="32"/>
          <w:szCs w:val="32"/>
        </w:rPr>
        <w:t>征地农民人数，</w:t>
      </w:r>
      <w:r>
        <w:rPr>
          <w:rFonts w:ascii="Times New Roman" w:hAnsi="Times New Roman" w:eastAsia="仿宋_GB2312" w:cs="Times New Roman"/>
          <w:sz w:val="32"/>
          <w:szCs w:val="32"/>
        </w:rPr>
        <w:t>将</w:t>
      </w:r>
      <w:r>
        <w:rPr>
          <w:rFonts w:ascii="Times New Roman" w:hAnsi="Times New Roman" w:eastAsia="仿宋_GB2312" w:cs="Times New Roman"/>
          <w:kern w:val="0"/>
          <w:sz w:val="32"/>
          <w:szCs w:val="32"/>
          <w:shd w:val="clear" w:color="auto" w:fill="FFFFFF"/>
          <w:lang w:bidi="ar"/>
        </w:rPr>
        <w:t>所需资金共</w:t>
      </w:r>
      <w:r>
        <w:rPr>
          <w:rFonts w:hint="eastAsia" w:ascii="Times New Roman" w:hAnsi="Times New Roman" w:eastAsia="仿宋_GB2312" w:cs="Times New Roman"/>
          <w:sz w:val="32"/>
          <w:szCs w:val="32"/>
        </w:rPr>
        <w:t>144.18</w:t>
      </w:r>
      <w:r>
        <w:rPr>
          <w:rFonts w:ascii="Times New Roman" w:hAnsi="Times New Roman" w:eastAsia="仿宋_GB2312" w:cs="Times New Roman"/>
          <w:sz w:val="32"/>
          <w:szCs w:val="32"/>
        </w:rPr>
        <w:t>万元一次性预存入</w:t>
      </w:r>
      <w:r>
        <w:rPr>
          <w:rFonts w:ascii="Times New Roman" w:hAnsi="Times New Roman" w:eastAsia="仿宋_GB2312" w:cs="Times New Roman"/>
          <w:kern w:val="0"/>
          <w:sz w:val="32"/>
          <w:szCs w:val="32"/>
          <w:shd w:val="clear" w:color="auto" w:fill="FFFFFF"/>
          <w:lang w:bidi="ar"/>
        </w:rPr>
        <w:t>存入</w:t>
      </w:r>
      <w:r>
        <w:rPr>
          <w:rFonts w:ascii="Times New Roman" w:hAnsi="Times New Roman" w:eastAsia="仿宋_GB2312" w:cs="Times New Roman"/>
          <w:sz w:val="32"/>
          <w:szCs w:val="32"/>
        </w:rPr>
        <w:t>黄埔区人力资源社会保障部门开设的</w:t>
      </w:r>
      <w:r>
        <w:rPr>
          <w:rFonts w:ascii="Times New Roman" w:hAnsi="Times New Roman" w:eastAsia="仿宋_GB2312" w:cs="Times New Roman"/>
          <w:kern w:val="0"/>
          <w:sz w:val="32"/>
          <w:szCs w:val="32"/>
          <w:shd w:val="clear" w:color="auto" w:fill="FFFFFF"/>
          <w:lang w:bidi="ar"/>
        </w:rPr>
        <w:t>“收缴被征地农民社会保障资金过渡户”，</w:t>
      </w:r>
      <w:r>
        <w:rPr>
          <w:rFonts w:ascii="Times New Roman" w:hAnsi="Times New Roman" w:eastAsia="仿宋_GB2312" w:cs="Times New Roman"/>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ascii="Times New Roman" w:hAnsi="Times New Roman" w:eastAsia="仿宋_GB2312" w:cs="Times New Roman"/>
          <w:kern w:val="0"/>
          <w:sz w:val="32"/>
          <w:szCs w:val="32"/>
          <w:shd w:val="clear" w:color="auto" w:fill="FFFFFF"/>
          <w:lang w:bidi="ar"/>
        </w:rPr>
        <w:t>征地社保费单列计提并列入征地成本。</w:t>
      </w:r>
      <w:r>
        <w:rPr>
          <w:rFonts w:ascii="Times New Roman" w:hAnsi="Times New Roman" w:eastAsia="仿宋_GB2312" w:cs="Times New Roman"/>
          <w:sz w:val="32"/>
          <w:szCs w:val="32"/>
        </w:rPr>
        <w:t xml:space="preserve"> </w:t>
      </w:r>
    </w:p>
    <w:p>
      <w:pPr>
        <w:rPr>
          <w:rFonts w:ascii="Times New Roman" w:hAnsi="Times New Roman" w:eastAsia="仿宋_GB2312" w:cs="Times New Roman"/>
          <w:kern w:val="32"/>
          <w:sz w:val="32"/>
          <w:szCs w:val="32"/>
        </w:rPr>
      </w:pPr>
    </w:p>
    <w:p>
      <w:pPr>
        <w:pStyle w:val="3"/>
        <w:ind w:firstLine="480"/>
        <w:rPr>
          <w:rFonts w:ascii="Times New Roman" w:hAnsi="Times New Roman" w:cs="Times New Roman"/>
        </w:rPr>
      </w:pPr>
    </w:p>
    <w:p>
      <w:pPr>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sz w:val="32"/>
          <w:szCs w:val="32"/>
        </w:rPr>
        <w:t>附表：征地土地及养老保障情况表</w:t>
      </w: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黑体" w:hAnsi="黑体" w:eastAsia="黑体" w:cs="黑体"/>
          <w:kern w:val="32"/>
          <w:sz w:val="32"/>
          <w:szCs w:val="32"/>
        </w:rPr>
      </w:pPr>
    </w:p>
    <w:p>
      <w:pPr>
        <w:rPr>
          <w:rFonts w:ascii="黑体" w:hAnsi="黑体" w:eastAsia="黑体" w:cs="黑体"/>
          <w:kern w:val="32"/>
          <w:sz w:val="32"/>
          <w:szCs w:val="32"/>
        </w:rPr>
      </w:pPr>
      <w:r>
        <w:rPr>
          <w:rFonts w:hint="eastAsia" w:ascii="黑体" w:hAnsi="黑体" w:eastAsia="黑体" w:cs="黑体"/>
          <w:kern w:val="32"/>
          <w:sz w:val="32"/>
          <w:szCs w:val="32"/>
        </w:rPr>
        <w:t>附表</w:t>
      </w:r>
    </w:p>
    <w:p>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17"/>
        <w:gridCol w:w="1725"/>
        <w:gridCol w:w="1095"/>
        <w:gridCol w:w="1131"/>
        <w:gridCol w:w="915"/>
        <w:gridCol w:w="954"/>
        <w:gridCol w:w="1011"/>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142" w:type="dxa"/>
            <w:gridSpan w:val="2"/>
            <w:vMerge w:val="restart"/>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被征地单位</w:t>
            </w:r>
          </w:p>
        </w:tc>
        <w:tc>
          <w:tcPr>
            <w:tcW w:w="4095" w:type="dxa"/>
            <w:gridSpan w:val="4"/>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征收土地面积</w:t>
            </w:r>
          </w:p>
        </w:tc>
        <w:tc>
          <w:tcPr>
            <w:tcW w:w="1011" w:type="dxa"/>
            <w:vMerge w:val="restart"/>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属于被征地单位留用地面积</w:t>
            </w:r>
          </w:p>
        </w:tc>
        <w:tc>
          <w:tcPr>
            <w:tcW w:w="833" w:type="dxa"/>
            <w:vMerge w:val="restart"/>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需保障人数</w:t>
            </w:r>
          </w:p>
        </w:tc>
        <w:tc>
          <w:tcPr>
            <w:tcW w:w="1135" w:type="dxa"/>
            <w:vMerge w:val="restart"/>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142" w:type="dxa"/>
            <w:gridSpan w:val="2"/>
            <w:vMerge w:val="continue"/>
            <w:vAlign w:val="center"/>
          </w:tcPr>
          <w:p>
            <w:pPr>
              <w:spacing w:line="320" w:lineRule="exact"/>
              <w:jc w:val="center"/>
              <w:rPr>
                <w:rFonts w:ascii="Times New Roman" w:hAnsi="Times New Roman" w:eastAsia="仿宋_GB2312" w:cs="Times New Roman"/>
                <w:sz w:val="24"/>
              </w:rPr>
            </w:pPr>
          </w:p>
        </w:tc>
        <w:tc>
          <w:tcPr>
            <w:tcW w:w="1095" w:type="dxa"/>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合计</w:t>
            </w:r>
          </w:p>
        </w:tc>
        <w:tc>
          <w:tcPr>
            <w:tcW w:w="1131" w:type="dxa"/>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农用地</w:t>
            </w:r>
          </w:p>
        </w:tc>
        <w:tc>
          <w:tcPr>
            <w:tcW w:w="915" w:type="dxa"/>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建设用地</w:t>
            </w:r>
          </w:p>
        </w:tc>
        <w:tc>
          <w:tcPr>
            <w:tcW w:w="954" w:type="dxa"/>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未利用地</w:t>
            </w:r>
          </w:p>
        </w:tc>
        <w:tc>
          <w:tcPr>
            <w:tcW w:w="1011" w:type="dxa"/>
            <w:vMerge w:val="continue"/>
            <w:vAlign w:val="center"/>
          </w:tcPr>
          <w:p>
            <w:pPr>
              <w:spacing w:line="320" w:lineRule="exact"/>
              <w:jc w:val="center"/>
              <w:rPr>
                <w:rFonts w:ascii="Times New Roman" w:hAnsi="Times New Roman" w:eastAsia="仿宋_GB2312" w:cs="Times New Roman"/>
                <w:sz w:val="24"/>
              </w:rPr>
            </w:pPr>
          </w:p>
        </w:tc>
        <w:tc>
          <w:tcPr>
            <w:tcW w:w="833" w:type="dxa"/>
            <w:vMerge w:val="continue"/>
            <w:vAlign w:val="center"/>
          </w:tcPr>
          <w:p>
            <w:pPr>
              <w:spacing w:line="320" w:lineRule="exact"/>
              <w:jc w:val="center"/>
              <w:rPr>
                <w:rFonts w:ascii="Times New Roman" w:hAnsi="Times New Roman" w:eastAsia="仿宋_GB2312" w:cs="Times New Roman"/>
                <w:sz w:val="24"/>
              </w:rPr>
            </w:pPr>
          </w:p>
        </w:tc>
        <w:tc>
          <w:tcPr>
            <w:tcW w:w="1135" w:type="dxa"/>
            <w:vMerge w:val="continue"/>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restart"/>
            <w:shd w:val="clear" w:color="auto" w:fill="FFFFFF"/>
            <w:noWrap/>
            <w:vAlign w:val="center"/>
          </w:tcPr>
          <w:p>
            <w:pPr>
              <w:spacing w:line="360" w:lineRule="exact"/>
              <w:rPr>
                <w:rFonts w:ascii="仿宋_GB2312" w:hAnsi="仿宋_GB2312" w:eastAsia="仿宋_GB2312" w:cs="仿宋_GB2312"/>
                <w:sz w:val="24"/>
                <w:szCs w:val="24"/>
              </w:rPr>
            </w:pPr>
          </w:p>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九佛街</w:t>
            </w:r>
          </w:p>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枫下村东星经济合作社</w:t>
            </w:r>
          </w:p>
        </w:tc>
        <w:tc>
          <w:tcPr>
            <w:tcW w:w="109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185.1375 </w:t>
            </w:r>
          </w:p>
        </w:tc>
        <w:tc>
          <w:tcPr>
            <w:tcW w:w="1131"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173.2935 </w:t>
            </w:r>
          </w:p>
        </w:tc>
        <w:tc>
          <w:tcPr>
            <w:tcW w:w="915"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11.0445 </w:t>
            </w:r>
          </w:p>
        </w:tc>
        <w:tc>
          <w:tcPr>
            <w:tcW w:w="954"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0.7995 </w:t>
            </w:r>
          </w:p>
        </w:tc>
        <w:tc>
          <w:tcPr>
            <w:tcW w:w="1011"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38</w:t>
            </w:r>
          </w:p>
        </w:tc>
        <w:tc>
          <w:tcPr>
            <w:tcW w:w="1135" w:type="dxa"/>
            <w:shd w:val="clear" w:color="auto" w:fill="FFFFFF"/>
            <w:noWrap/>
            <w:vAlign w:val="center"/>
          </w:tcPr>
          <w:p>
            <w:pPr>
              <w:widowControl/>
              <w:jc w:val="center"/>
              <w:textAlignment w:val="center"/>
              <w:rPr>
                <w:rFonts w:ascii="仿宋_GB2312" w:hAnsi="仿宋_GB2312" w:eastAsia="仿宋_GB2312" w:cs="仿宋_GB2312"/>
                <w:color w:val="0000FF"/>
                <w:sz w:val="24"/>
                <w:szCs w:val="24"/>
              </w:rPr>
            </w:pPr>
            <w:r>
              <w:rPr>
                <w:rFonts w:hint="eastAsia" w:ascii="Times New Roman" w:hAnsi="Times New Roman" w:cs="Times New Roman"/>
                <w:sz w:val="22"/>
              </w:rPr>
              <w:t>61.56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枫下村太和经济合作社</w:t>
            </w:r>
          </w:p>
        </w:tc>
        <w:tc>
          <w:tcPr>
            <w:tcW w:w="109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135.0120 </w:t>
            </w:r>
          </w:p>
        </w:tc>
        <w:tc>
          <w:tcPr>
            <w:tcW w:w="1131"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129.1965 </w:t>
            </w:r>
          </w:p>
        </w:tc>
        <w:tc>
          <w:tcPr>
            <w:tcW w:w="915"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954"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5.8155 </w:t>
            </w:r>
          </w:p>
        </w:tc>
        <w:tc>
          <w:tcPr>
            <w:tcW w:w="1011"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27</w:t>
            </w:r>
          </w:p>
        </w:tc>
        <w:tc>
          <w:tcPr>
            <w:tcW w:w="1135" w:type="dxa"/>
            <w:shd w:val="clear" w:color="auto" w:fill="FFFFFF"/>
            <w:noWrap/>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43.74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2"/>
                <w:lang w:bidi="ar"/>
              </w:rPr>
              <w:t>枫下村长安经济合作社</w:t>
            </w:r>
          </w:p>
        </w:tc>
        <w:tc>
          <w:tcPr>
            <w:tcW w:w="109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30.4740 </w:t>
            </w:r>
          </w:p>
        </w:tc>
        <w:tc>
          <w:tcPr>
            <w:tcW w:w="1131"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30.4740 </w:t>
            </w:r>
          </w:p>
        </w:tc>
        <w:tc>
          <w:tcPr>
            <w:tcW w:w="91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kern w:val="0"/>
                <w:sz w:val="22"/>
                <w:lang w:bidi="ar"/>
              </w:rPr>
              <w:t xml:space="preserve">0.0000 </w:t>
            </w:r>
          </w:p>
        </w:tc>
        <w:tc>
          <w:tcPr>
            <w:tcW w:w="954"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kern w:val="0"/>
                <w:sz w:val="22"/>
                <w:lang w:bidi="ar"/>
              </w:rPr>
              <w:t xml:space="preserve">0.0000 </w:t>
            </w:r>
          </w:p>
        </w:tc>
        <w:tc>
          <w:tcPr>
            <w:tcW w:w="1011"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7</w:t>
            </w:r>
          </w:p>
        </w:tc>
        <w:tc>
          <w:tcPr>
            <w:tcW w:w="1135" w:type="dxa"/>
            <w:shd w:val="clear" w:color="auto" w:fill="FFFFFF"/>
            <w:noWrap/>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枫下村经济联合社</w:t>
            </w:r>
          </w:p>
        </w:tc>
        <w:tc>
          <w:tcPr>
            <w:tcW w:w="109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0.0990 </w:t>
            </w:r>
          </w:p>
        </w:tc>
        <w:tc>
          <w:tcPr>
            <w:tcW w:w="1131"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color w:val="000000"/>
                <w:kern w:val="0"/>
                <w:sz w:val="22"/>
                <w:lang w:bidi="ar"/>
              </w:rPr>
              <w:t xml:space="preserve">0.0990 </w:t>
            </w:r>
          </w:p>
        </w:tc>
        <w:tc>
          <w:tcPr>
            <w:tcW w:w="915"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kern w:val="0"/>
                <w:sz w:val="22"/>
                <w:lang w:bidi="ar"/>
              </w:rPr>
              <w:t xml:space="preserve">0.0000 </w:t>
            </w:r>
          </w:p>
        </w:tc>
        <w:tc>
          <w:tcPr>
            <w:tcW w:w="954"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kern w:val="0"/>
                <w:sz w:val="22"/>
                <w:lang w:bidi="ar"/>
              </w:rPr>
              <w:t xml:space="preserve">0.0000 </w:t>
            </w:r>
          </w:p>
        </w:tc>
        <w:tc>
          <w:tcPr>
            <w:tcW w:w="1011"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1</w:t>
            </w:r>
          </w:p>
        </w:tc>
        <w:tc>
          <w:tcPr>
            <w:tcW w:w="1135" w:type="dxa"/>
            <w:shd w:val="clear" w:color="auto" w:fill="FFFFFF"/>
            <w:noWrap/>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凤尾村第六经济合作社</w:t>
            </w:r>
          </w:p>
        </w:tc>
        <w:tc>
          <w:tcPr>
            <w:tcW w:w="109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2.4645 </w:t>
            </w:r>
          </w:p>
        </w:tc>
        <w:tc>
          <w:tcPr>
            <w:tcW w:w="1131"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color w:val="000000"/>
                <w:kern w:val="0"/>
                <w:sz w:val="22"/>
                <w:lang w:bidi="ar"/>
              </w:rPr>
              <w:t xml:space="preserve">1.2030 </w:t>
            </w:r>
          </w:p>
        </w:tc>
        <w:tc>
          <w:tcPr>
            <w:tcW w:w="915"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kern w:val="0"/>
                <w:sz w:val="22"/>
                <w:lang w:bidi="ar"/>
              </w:rPr>
              <w:t xml:space="preserve">0.0000 </w:t>
            </w:r>
          </w:p>
        </w:tc>
        <w:tc>
          <w:tcPr>
            <w:tcW w:w="954"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kern w:val="0"/>
                <w:sz w:val="22"/>
                <w:lang w:bidi="ar"/>
              </w:rPr>
              <w:t xml:space="preserve">1.2615 </w:t>
            </w:r>
          </w:p>
        </w:tc>
        <w:tc>
          <w:tcPr>
            <w:tcW w:w="1011"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2</w:t>
            </w:r>
          </w:p>
        </w:tc>
        <w:tc>
          <w:tcPr>
            <w:tcW w:w="1135" w:type="dxa"/>
            <w:shd w:val="clear" w:color="auto" w:fill="FFFFFF"/>
            <w:noWrap/>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凤尾村第七经济合作社</w:t>
            </w:r>
          </w:p>
        </w:tc>
        <w:tc>
          <w:tcPr>
            <w:tcW w:w="109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0.0525 </w:t>
            </w:r>
          </w:p>
        </w:tc>
        <w:tc>
          <w:tcPr>
            <w:tcW w:w="1131"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color w:val="000000"/>
                <w:kern w:val="0"/>
                <w:sz w:val="22"/>
                <w:lang w:bidi="ar"/>
              </w:rPr>
              <w:t xml:space="preserve">0.0525 </w:t>
            </w:r>
          </w:p>
        </w:tc>
        <w:tc>
          <w:tcPr>
            <w:tcW w:w="915"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kern w:val="0"/>
                <w:sz w:val="22"/>
                <w:lang w:bidi="ar"/>
              </w:rPr>
              <w:t xml:space="preserve">0.0000 </w:t>
            </w:r>
          </w:p>
        </w:tc>
        <w:tc>
          <w:tcPr>
            <w:tcW w:w="954"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kern w:val="0"/>
                <w:sz w:val="22"/>
                <w:lang w:bidi="ar"/>
              </w:rPr>
              <w:t xml:space="preserve">0.0000 </w:t>
            </w:r>
          </w:p>
        </w:tc>
        <w:tc>
          <w:tcPr>
            <w:tcW w:w="1011"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1</w:t>
            </w:r>
          </w:p>
        </w:tc>
        <w:tc>
          <w:tcPr>
            <w:tcW w:w="1135" w:type="dxa"/>
            <w:shd w:val="clear" w:color="auto" w:fill="FFFFFF"/>
            <w:noWrap/>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凤尾村经济联合社</w:t>
            </w:r>
          </w:p>
        </w:tc>
        <w:tc>
          <w:tcPr>
            <w:tcW w:w="1095"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0.3285 </w:t>
            </w:r>
          </w:p>
        </w:tc>
        <w:tc>
          <w:tcPr>
            <w:tcW w:w="1131" w:type="dxa"/>
            <w:shd w:val="clear" w:color="auto" w:fill="FFFFFF"/>
            <w:vAlign w:val="center"/>
          </w:tcPr>
          <w:p>
            <w:pPr>
              <w:widowControl/>
              <w:jc w:val="center"/>
              <w:textAlignment w:val="center"/>
              <w:rPr>
                <w:rFonts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0.3285 </w:t>
            </w:r>
          </w:p>
        </w:tc>
        <w:tc>
          <w:tcPr>
            <w:tcW w:w="915" w:type="dxa"/>
            <w:shd w:val="clear" w:color="auto" w:fill="FFFFFF"/>
            <w:vAlign w:val="center"/>
          </w:tcPr>
          <w:p>
            <w:pPr>
              <w:widowControl/>
              <w:jc w:val="center"/>
              <w:textAlignment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0.0000 </w:t>
            </w:r>
          </w:p>
        </w:tc>
        <w:tc>
          <w:tcPr>
            <w:tcW w:w="954" w:type="dxa"/>
            <w:shd w:val="clear" w:color="auto" w:fill="FFFFFF"/>
            <w:vAlign w:val="center"/>
          </w:tcPr>
          <w:p>
            <w:pPr>
              <w:widowControl/>
              <w:jc w:val="center"/>
              <w:textAlignment w:val="center"/>
              <w:rPr>
                <w:rFonts w:ascii="Times New Roman" w:hAnsi="Times New Roman" w:eastAsia="宋体" w:cs="Times New Roman"/>
                <w:kern w:val="0"/>
                <w:sz w:val="22"/>
                <w:lang w:bidi="ar"/>
              </w:rPr>
            </w:pPr>
            <w:r>
              <w:rPr>
                <w:rFonts w:hint="eastAsia" w:ascii="Times New Roman" w:hAnsi="Times New Roman" w:eastAsia="宋体" w:cs="Times New Roman"/>
                <w:kern w:val="0"/>
                <w:sz w:val="22"/>
                <w:lang w:bidi="ar"/>
              </w:rPr>
              <w:t xml:space="preserve">0.0000 </w:t>
            </w:r>
          </w:p>
        </w:tc>
        <w:tc>
          <w:tcPr>
            <w:tcW w:w="1011" w:type="dxa"/>
            <w:shd w:val="clear" w:color="auto" w:fill="FFFFFF"/>
            <w:vAlign w:val="center"/>
          </w:tcPr>
          <w:p>
            <w:pPr>
              <w:widowControl/>
              <w:jc w:val="center"/>
              <w:textAlignment w:val="center"/>
              <w:rPr>
                <w:rFonts w:ascii="Times New Roman" w:hAnsi="Times New Roman" w:eastAsia="宋体" w:cs="Times New Roman"/>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Times New Roman" w:hAnsi="Times New Roman" w:cs="Times New Roman"/>
                <w:sz w:val="22"/>
              </w:rPr>
            </w:pPr>
            <w:r>
              <w:rPr>
                <w:rFonts w:hint="eastAsia" w:ascii="Times New Roman" w:hAnsi="Times New Roman" w:cs="Times New Roman"/>
                <w:sz w:val="22"/>
              </w:rPr>
              <w:t>1</w:t>
            </w:r>
          </w:p>
        </w:tc>
        <w:tc>
          <w:tcPr>
            <w:tcW w:w="1135" w:type="dxa"/>
            <w:shd w:val="clear" w:color="auto" w:fill="FFFFFF"/>
            <w:noWrap/>
            <w:vAlign w:val="center"/>
          </w:tcPr>
          <w:p>
            <w:pPr>
              <w:widowControl/>
              <w:jc w:val="center"/>
              <w:textAlignment w:val="center"/>
              <w:rPr>
                <w:rFonts w:ascii="Times New Roman" w:hAnsi="Times New Roman" w:cs="Times New Roman"/>
                <w:sz w:val="22"/>
              </w:rPr>
            </w:pPr>
            <w:r>
              <w:rPr>
                <w:rFonts w:hint="eastAsia" w:ascii="Times New Roman" w:hAnsi="Times New Roman" w:cs="Times New Roman"/>
                <w:sz w:val="22"/>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红卫村新南村经济合作社</w:t>
            </w:r>
          </w:p>
        </w:tc>
        <w:tc>
          <w:tcPr>
            <w:tcW w:w="1095"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66.8040 </w:t>
            </w:r>
          </w:p>
        </w:tc>
        <w:tc>
          <w:tcPr>
            <w:tcW w:w="1131"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color w:val="000000"/>
                <w:kern w:val="0"/>
                <w:sz w:val="22"/>
                <w:lang w:bidi="ar"/>
              </w:rPr>
              <w:t xml:space="preserve">61.2090 </w:t>
            </w:r>
          </w:p>
        </w:tc>
        <w:tc>
          <w:tcPr>
            <w:tcW w:w="915"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kern w:val="0"/>
                <w:sz w:val="22"/>
                <w:lang w:bidi="ar"/>
              </w:rPr>
              <w:t xml:space="preserve">0.0000 </w:t>
            </w:r>
          </w:p>
        </w:tc>
        <w:tc>
          <w:tcPr>
            <w:tcW w:w="954"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kern w:val="0"/>
                <w:sz w:val="22"/>
                <w:lang w:bidi="ar"/>
              </w:rPr>
              <w:t xml:space="preserve">5.5950 </w:t>
            </w:r>
          </w:p>
        </w:tc>
        <w:tc>
          <w:tcPr>
            <w:tcW w:w="1011"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12</w:t>
            </w:r>
          </w:p>
        </w:tc>
        <w:tc>
          <w:tcPr>
            <w:tcW w:w="1135" w:type="dxa"/>
            <w:shd w:val="clear" w:color="auto" w:fill="FFFFFF"/>
            <w:noWrap/>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142" w:type="dxa"/>
            <w:gridSpan w:val="2"/>
            <w:shd w:val="clear" w:color="auto" w:fill="FFFFFF"/>
            <w:noWrap/>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095" w:type="dxa"/>
            <w:shd w:val="clear" w:color="auto" w:fill="FFFFFF"/>
            <w:vAlign w:val="center"/>
          </w:tcPr>
          <w:p>
            <w:pPr>
              <w:widowControl/>
              <w:jc w:val="center"/>
              <w:textAlignment w:val="center"/>
              <w:rPr>
                <w:rFonts w:ascii="仿宋_GB2312" w:hAnsi="仿宋_GB2312" w:eastAsia="仿宋_GB2312" w:cs="仿宋_GB2312"/>
                <w:b/>
                <w:bCs/>
                <w:sz w:val="24"/>
                <w:szCs w:val="24"/>
              </w:rPr>
            </w:pPr>
            <w:r>
              <w:rPr>
                <w:rFonts w:hint="eastAsia" w:ascii="Times New Roman" w:hAnsi="Times New Roman" w:eastAsia="宋体" w:cs="Times New Roman"/>
                <w:color w:val="000000"/>
                <w:kern w:val="0"/>
                <w:sz w:val="22"/>
                <w:lang w:bidi="ar"/>
              </w:rPr>
              <w:t xml:space="preserve">420.3720 </w:t>
            </w:r>
          </w:p>
        </w:tc>
        <w:tc>
          <w:tcPr>
            <w:tcW w:w="1131" w:type="dxa"/>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Times New Roman" w:hAnsi="Times New Roman" w:eastAsia="宋体" w:cs="Times New Roman"/>
                <w:color w:val="000000"/>
                <w:kern w:val="0"/>
                <w:sz w:val="22"/>
                <w:lang w:bidi="ar"/>
              </w:rPr>
              <w:t xml:space="preserve">395.8560 </w:t>
            </w:r>
          </w:p>
        </w:tc>
        <w:tc>
          <w:tcPr>
            <w:tcW w:w="915" w:type="dxa"/>
            <w:shd w:val="clear" w:color="auto" w:fill="FFFFFF"/>
            <w:vAlign w:val="center"/>
          </w:tcPr>
          <w:p>
            <w:pPr>
              <w:widowControl/>
              <w:jc w:val="center"/>
              <w:textAlignment w:val="center"/>
              <w:rPr>
                <w:rFonts w:ascii="仿宋_GB2312" w:hAnsi="仿宋_GB2312" w:eastAsia="仿宋_GB2312" w:cs="仿宋_GB2312"/>
                <w:b/>
                <w:bCs/>
                <w:sz w:val="24"/>
                <w:szCs w:val="24"/>
              </w:rPr>
            </w:pPr>
            <w:r>
              <w:rPr>
                <w:rFonts w:hint="eastAsia" w:ascii="Times New Roman" w:hAnsi="Times New Roman" w:eastAsia="宋体" w:cs="Times New Roman"/>
                <w:kern w:val="0"/>
                <w:sz w:val="22"/>
                <w:lang w:bidi="ar"/>
              </w:rPr>
              <w:t xml:space="preserve">11.0445 </w:t>
            </w:r>
          </w:p>
        </w:tc>
        <w:tc>
          <w:tcPr>
            <w:tcW w:w="954" w:type="dxa"/>
            <w:shd w:val="clear" w:color="auto" w:fill="FFFFFF"/>
            <w:vAlign w:val="center"/>
          </w:tcPr>
          <w:p>
            <w:pPr>
              <w:widowControl/>
              <w:jc w:val="center"/>
              <w:textAlignment w:val="center"/>
              <w:rPr>
                <w:rFonts w:ascii="仿宋_GB2312" w:hAnsi="仿宋_GB2312" w:eastAsia="仿宋_GB2312" w:cs="仿宋_GB2312"/>
                <w:b/>
                <w:bCs/>
                <w:sz w:val="24"/>
                <w:szCs w:val="24"/>
              </w:rPr>
            </w:pPr>
            <w:r>
              <w:rPr>
                <w:rFonts w:hint="eastAsia" w:ascii="Times New Roman" w:hAnsi="Times New Roman" w:eastAsia="宋体" w:cs="Times New Roman"/>
                <w:kern w:val="0"/>
                <w:sz w:val="22"/>
                <w:lang w:bidi="ar"/>
              </w:rPr>
              <w:t xml:space="preserve">13.4715 </w:t>
            </w:r>
          </w:p>
        </w:tc>
        <w:tc>
          <w:tcPr>
            <w:tcW w:w="1011" w:type="dxa"/>
            <w:shd w:val="clear" w:color="auto" w:fill="FFFFFF"/>
            <w:vAlign w:val="center"/>
          </w:tcPr>
          <w:p>
            <w:pPr>
              <w:widowControl/>
              <w:jc w:val="center"/>
              <w:textAlignment w:val="center"/>
              <w:rPr>
                <w:rFonts w:ascii="仿宋_GB2312" w:hAnsi="仿宋_GB2312" w:eastAsia="仿宋_GB2312" w:cs="仿宋_GB2312"/>
                <w:b/>
                <w:bCs/>
                <w:sz w:val="24"/>
                <w:szCs w:val="24"/>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ascii="仿宋_GB2312" w:hAnsi="仿宋_GB2312" w:eastAsia="仿宋_GB2312" w:cs="仿宋_GB2312"/>
                <w:sz w:val="24"/>
                <w:szCs w:val="24"/>
              </w:rPr>
            </w:pPr>
            <w:r>
              <w:rPr>
                <w:rFonts w:hint="eastAsia" w:ascii="Times New Roman" w:hAnsi="Times New Roman" w:cs="Times New Roman"/>
                <w:sz w:val="22"/>
              </w:rPr>
              <w:t>89</w:t>
            </w:r>
          </w:p>
        </w:tc>
        <w:tc>
          <w:tcPr>
            <w:tcW w:w="1135" w:type="dxa"/>
            <w:shd w:val="clear" w:color="auto" w:fill="FFFFFF"/>
            <w:noWrap/>
            <w:vAlign w:val="center"/>
          </w:tcPr>
          <w:p>
            <w:pPr>
              <w:widowControl/>
              <w:jc w:val="center"/>
              <w:textAlignment w:val="center"/>
              <w:rPr>
                <w:rFonts w:ascii="仿宋_GB2312" w:hAnsi="仿宋_GB2312" w:eastAsia="仿宋_GB2312" w:cs="仿宋_GB2312"/>
                <w:color w:val="0000FF"/>
                <w:sz w:val="24"/>
                <w:szCs w:val="24"/>
              </w:rPr>
            </w:pPr>
            <w:r>
              <w:rPr>
                <w:rFonts w:hint="eastAsia" w:ascii="Times New Roman" w:hAnsi="Times New Roman" w:cs="Times New Roman"/>
                <w:sz w:val="22"/>
              </w:rPr>
              <w:t>144.18</w:t>
            </w:r>
          </w:p>
        </w:tc>
      </w:tr>
    </w:tbl>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rPr>
          <w:rFonts w:ascii="Times New Roman" w:hAnsi="Times New Roman" w:eastAsia="΢ȭхڢ; line-height:23px;" w:cs="Times New Roman"/>
          <w:sz w:val="32"/>
          <w:szCs w:val="32"/>
        </w:rPr>
      </w:pPr>
    </w:p>
    <w:p>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pPr>
        <w:ind w:firstLine="640" w:firstLineChars="200"/>
        <w:jc w:val="center"/>
        <w:rPr>
          <w:rFonts w:ascii="Times New Roman" w:hAnsi="Times New Roman" w:cs="Times New Roman"/>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日</w:t>
      </w:r>
    </w:p>
    <w:p/>
    <w:p/>
    <w:p>
      <w:pPr>
        <w:adjustRightInd w:val="0"/>
        <w:snapToGrid w:val="0"/>
        <w:rPr>
          <w:rFonts w:ascii="Times New Roman" w:hAnsi="Times New Roman" w:eastAsia="仿宋_GB2312" w:cs="Times New Roman"/>
          <w:sz w:val="32"/>
          <w:szCs w:val="32"/>
          <w:shd w:val="clear" w:color="auto" w:fill="FFFFFF"/>
        </w:rPr>
      </w:pPr>
    </w:p>
    <w:p>
      <w:pPr>
        <w:tabs>
          <w:tab w:val="left" w:pos="2160"/>
          <w:tab w:val="left" w:pos="2340"/>
          <w:tab w:val="left" w:pos="6480"/>
        </w:tabs>
        <w:spacing w:line="579" w:lineRule="exact"/>
        <w:ind w:right="23" w:rightChars="11"/>
        <w:rPr>
          <w:rFonts w:ascii="Times New Roman" w:hAnsi="Times New Roman" w:eastAsia="仿宋_GB2312" w:cs="Times New Roman"/>
          <w:b/>
          <w:bCs/>
          <w:sz w:val="32"/>
          <w:szCs w:val="32"/>
          <w:shd w:val="clear" w:color="auto" w:fill="FFFFFF"/>
        </w:rPr>
      </w:pPr>
      <w:r>
        <w:rPr>
          <w:rFonts w:ascii="Times New Roman" w:hAnsi="Times New Roman" w:eastAsia="仿宋_GB2312" w:cs="Times New Roman"/>
          <w:b/>
          <w:bCs/>
          <w:sz w:val="32"/>
          <w:szCs w:val="32"/>
          <w:shd w:val="clear" w:color="auto" w:fill="FFFFFF"/>
        </w:rPr>
        <w:t>附件2：</w:t>
      </w:r>
    </w:p>
    <w:p>
      <w:pPr>
        <w:adjustRightInd w:val="0"/>
        <w:snapToGrid w:val="0"/>
        <w:rPr>
          <w:rFonts w:ascii="Times New Roman" w:hAnsi="Times New Roman" w:eastAsia="方正小标宋简体" w:cs="Times New Roman"/>
          <w:color w:val="000000"/>
          <w:sz w:val="44"/>
          <w:szCs w:val="44"/>
        </w:rPr>
      </w:pPr>
    </w:p>
    <w:p>
      <w:pPr>
        <w:adjustRightInd w:val="0"/>
        <w:snapToGrid w:val="0"/>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rPr>
        <w:t>2021</w:t>
      </w:r>
      <w:r>
        <w:rPr>
          <w:rFonts w:ascii="Times New Roman" w:hAnsi="Times New Roman" w:eastAsia="方正小标宋简体" w:cs="Times New Roman"/>
          <w:color w:val="000000"/>
          <w:sz w:val="44"/>
          <w:szCs w:val="44"/>
        </w:rPr>
        <w:t>年度</w:t>
      </w:r>
      <w:r>
        <w:rPr>
          <w:rFonts w:hint="eastAsia" w:ascii="Times New Roman" w:hAnsi="Times New Roman" w:eastAsia="方正小标宋简体" w:cs="Times New Roman"/>
          <w:color w:val="000000"/>
          <w:sz w:val="44"/>
          <w:szCs w:val="44"/>
        </w:rPr>
        <w:t>第二十七批次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被征地农民养老保障方案</w:t>
      </w:r>
      <w:r>
        <w:rPr>
          <w:rFonts w:hint="eastAsia" w:ascii="Times New Roman" w:hAnsi="Times New Roman" w:eastAsia="方正小标宋简体" w:cs="Times New Roman"/>
          <w:color w:val="000000"/>
          <w:sz w:val="44"/>
          <w:szCs w:val="44"/>
        </w:rPr>
        <w:t>（316.0455亩）</w:t>
      </w:r>
    </w:p>
    <w:p>
      <w:pPr>
        <w:rPr>
          <w:rFonts w:ascii="Times New Roman" w:hAnsi="Times New Roman" w:eastAsia="仿宋_GB2312" w:cs="Times New Roman"/>
          <w:kern w:val="0"/>
          <w:szCs w:val="32"/>
        </w:rPr>
      </w:pPr>
    </w:p>
    <w:p>
      <w:pPr>
        <w:spacing w:line="56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kern w:val="0"/>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w:t>
      </w:r>
      <w:r>
        <w:rPr>
          <w:rFonts w:hint="eastAsia" w:ascii="Times New Roman" w:hAnsi="Times New Roman" w:eastAsia="仿宋_GB2312" w:cs="Times New Roman"/>
          <w:kern w:val="0"/>
          <w:sz w:val="32"/>
          <w:szCs w:val="32"/>
        </w:rPr>
        <w:t>等</w:t>
      </w:r>
      <w:r>
        <w:rPr>
          <w:rFonts w:ascii="Times New Roman" w:hAnsi="Times New Roman" w:eastAsia="仿宋_GB2312" w:cs="Times New Roman"/>
          <w:kern w:val="0"/>
          <w:sz w:val="32"/>
          <w:szCs w:val="32"/>
        </w:rPr>
        <w:t>有关规定，拟定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rPr>
        <w:t>2021年度第二十七批次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（316.0455亩）项目</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spacing w:line="560" w:lineRule="exact"/>
        <w:ind w:firstLine="643" w:firstLineChars="200"/>
        <w:rPr>
          <w:rFonts w:ascii="Times New Roman" w:hAnsi="Times New Roman" w:eastAsia="黑体" w:cs="Times New Roman"/>
          <w:kern w:val="0"/>
          <w:sz w:val="32"/>
          <w:szCs w:val="32"/>
        </w:rPr>
      </w:pPr>
      <w:r>
        <w:rPr>
          <w:rFonts w:ascii="仿宋_GB2312" w:hAnsi="仿宋_GB2312" w:eastAsia="仿宋_GB2312" w:cs="仿宋_GB2312"/>
          <w:b/>
          <w:bCs/>
          <w:kern w:val="0"/>
          <w:sz w:val="32"/>
          <w:szCs w:val="32"/>
        </w:rPr>
        <w:t>一、对广州市黄埔区（中新广</w:t>
      </w:r>
      <w:r>
        <w:rPr>
          <w:rFonts w:ascii="Times New Roman" w:hAnsi="Times New Roman" w:eastAsia="仿宋_GB2312" w:cs="Times New Roman"/>
          <w:b/>
          <w:bCs/>
          <w:kern w:val="0"/>
          <w:sz w:val="32"/>
          <w:szCs w:val="32"/>
        </w:rPr>
        <w:t>州知识城）2021年度第二十七批次城镇建设用地</w:t>
      </w:r>
      <w:r>
        <w:rPr>
          <w:rFonts w:hint="eastAsia" w:ascii="Times New Roman" w:hAnsi="Times New Roman" w:eastAsia="仿宋_GB2312" w:cs="Times New Roman"/>
          <w:b/>
          <w:bCs/>
          <w:kern w:val="0"/>
          <w:sz w:val="32"/>
          <w:szCs w:val="32"/>
        </w:rPr>
        <w:t>（316.0455亩）项目</w:t>
      </w:r>
      <w:r>
        <w:rPr>
          <w:rFonts w:ascii="Times New Roman" w:hAnsi="Times New Roman" w:eastAsia="仿宋_GB2312" w:cs="Times New Roman"/>
          <w:b/>
          <w:bCs/>
          <w:kern w:val="0"/>
          <w:sz w:val="32"/>
          <w:szCs w:val="32"/>
        </w:rPr>
        <w:t>涉及的被征地农民实施社会养老保障。</w:t>
      </w:r>
    </w:p>
    <w:p>
      <w:pPr>
        <w:spacing w:line="560" w:lineRule="exact"/>
        <w:ind w:right="-14" w:firstLine="643" w:firstLineChars="20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rPr>
        <w:t>二、征地社保费筹集。</w:t>
      </w:r>
      <w:r>
        <w:rPr>
          <w:rFonts w:hint="eastAsia" w:ascii="仿宋_GB2312" w:hAnsi="仿宋_GB2312" w:eastAsia="仿宋_GB2312" w:cs="仿宋_GB2312"/>
          <w:sz w:val="32"/>
          <w:szCs w:val="32"/>
        </w:rPr>
        <w:t>依据广州</w:t>
      </w:r>
      <w:r>
        <w:rPr>
          <w:rFonts w:ascii="Times New Roman" w:hAnsi="Times New Roman" w:eastAsia="仿宋_GB2312" w:cs="Times New Roman"/>
          <w:kern w:val="0"/>
          <w:sz w:val="32"/>
          <w:szCs w:val="32"/>
          <w:shd w:val="clear" w:color="auto" w:fill="FFFFFF"/>
          <w:lang w:bidi="ar"/>
        </w:rPr>
        <w:t>市规划和自然资源局黄埔区分局提供</w:t>
      </w:r>
      <w:r>
        <w:rPr>
          <w:rFonts w:hint="eastAsia" w:ascii="Times New Roman" w:hAnsi="Times New Roman" w:eastAsia="仿宋_GB2312" w:cs="Times New Roman"/>
          <w:kern w:val="0"/>
          <w:sz w:val="32"/>
          <w:szCs w:val="32"/>
          <w:shd w:val="clear" w:color="auto" w:fill="FFFFFF"/>
          <w:lang w:bidi="ar"/>
        </w:rPr>
        <w:t>情况</w:t>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该</w:t>
      </w:r>
      <w:r>
        <w:rPr>
          <w:rFonts w:ascii="Times New Roman" w:hAnsi="Times New Roman" w:eastAsia="仿宋_GB2312" w:cs="Times New Roman"/>
          <w:kern w:val="0"/>
          <w:sz w:val="32"/>
          <w:szCs w:val="32"/>
          <w:shd w:val="clear" w:color="auto" w:fill="FFFFFF"/>
          <w:lang w:bidi="ar"/>
        </w:rPr>
        <w:t>项目征收</w:t>
      </w:r>
      <w:r>
        <w:rPr>
          <w:rFonts w:hint="eastAsia" w:ascii="Times New Roman" w:hAnsi="Times New Roman" w:eastAsia="仿宋_GB2312" w:cs="Times New Roman"/>
          <w:kern w:val="0"/>
          <w:sz w:val="32"/>
          <w:szCs w:val="32"/>
          <w:shd w:val="clear" w:color="auto" w:fill="FFFFFF"/>
          <w:lang w:bidi="ar"/>
        </w:rPr>
        <w:t>我区</w:t>
      </w:r>
      <w:r>
        <w:rPr>
          <w:rFonts w:ascii="Times New Roman" w:hAnsi="Times New Roman" w:eastAsia="仿宋_GB2312" w:cs="Times New Roman"/>
          <w:kern w:val="0"/>
          <w:sz w:val="32"/>
          <w:szCs w:val="32"/>
          <w:shd w:val="clear" w:color="auto" w:fill="FFFFFF"/>
          <w:lang w:bidi="ar"/>
        </w:rPr>
        <w:t>广州市黄埔区</w:t>
      </w:r>
      <w:r>
        <w:rPr>
          <w:rFonts w:ascii="Times New Roman" w:hAnsi="Times New Roman" w:eastAsia="仿宋_GB2312" w:cs="Times New Roman"/>
          <w:sz w:val="32"/>
          <w:szCs w:val="32"/>
        </w:rPr>
        <w:t>九佛街</w:t>
      </w:r>
      <w:r>
        <w:rPr>
          <w:rFonts w:hint="eastAsia" w:ascii="Times New Roman" w:hAnsi="Times New Roman" w:eastAsia="仿宋_GB2312" w:cs="Times New Roman"/>
          <w:sz w:val="32"/>
          <w:szCs w:val="32"/>
        </w:rPr>
        <w:t>枫下村新兰经济合作社、</w:t>
      </w:r>
      <w:r>
        <w:rPr>
          <w:rFonts w:ascii="Times New Roman" w:hAnsi="Times New Roman" w:eastAsia="仿宋_GB2312" w:cs="Times New Roman"/>
          <w:sz w:val="32"/>
          <w:szCs w:val="32"/>
        </w:rPr>
        <w:t>凤尾村第六经济合作社、凤尾村第七经济合作社、凤尾村经济联合社、红卫村新南村经济合作社</w:t>
      </w:r>
      <w:r>
        <w:rPr>
          <w:rFonts w:ascii="Times New Roman" w:hAnsi="Times New Roman" w:eastAsia="仿宋_GB2312" w:cs="Times New Roman"/>
          <w:kern w:val="0"/>
          <w:sz w:val="32"/>
          <w:szCs w:val="32"/>
          <w:shd w:val="clear" w:color="auto" w:fill="FFFFFF"/>
          <w:lang w:bidi="ar"/>
        </w:rPr>
        <w:t>土地面积共316.0455亩（其中被征地单位留用地0亩），</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ascii="Times New Roman" w:hAnsi="Times New Roman" w:eastAsia="仿宋_GB2312" w:cs="Times New Roman"/>
          <w:kern w:val="0"/>
          <w:sz w:val="32"/>
          <w:szCs w:val="32"/>
          <w:shd w:val="clear" w:color="auto" w:fill="FFFFFF"/>
          <w:lang w:bidi="ar"/>
        </w:rPr>
        <w:t>该项目征地社保费应按2.47</w:t>
      </w:r>
      <w:r>
        <w:rPr>
          <w:rFonts w:hint="eastAsia" w:ascii="Times New Roman" w:hAnsi="Times New Roman" w:eastAsia="仿宋_GB2312" w:cs="Times New Roman"/>
          <w:kern w:val="0"/>
          <w:sz w:val="32"/>
          <w:szCs w:val="32"/>
          <w:shd w:val="clear" w:color="auto" w:fill="FFFFFF"/>
          <w:lang w:bidi="ar"/>
        </w:rPr>
        <w:t>万</w:t>
      </w:r>
      <w:r>
        <w:rPr>
          <w:rFonts w:ascii="Times New Roman" w:hAnsi="Times New Roman" w:eastAsia="仿宋_GB2312" w:cs="Times New Roman"/>
          <w:sz w:val="32"/>
          <w:szCs w:val="32"/>
        </w:rPr>
        <w:t>元/亩的标准计提（即征地补偿安置方案制定时，我区</w:t>
      </w:r>
      <w:r>
        <w:rPr>
          <w:rFonts w:ascii="Times New Roman" w:hAnsi="Times New Roman" w:eastAsia="仿宋_GB2312" w:cs="Times New Roman"/>
          <w:kern w:val="0"/>
          <w:sz w:val="32"/>
          <w:szCs w:val="32"/>
          <w:shd w:val="clear" w:color="auto" w:fill="FFFFFF"/>
          <w:lang w:bidi="ar"/>
        </w:rPr>
        <w:t>每亩平均征收农用地综合区片地价21.84万元/亩</w:t>
      </w:r>
      <w:r>
        <w:rPr>
          <w:rFonts w:ascii="Times New Roman" w:hAnsi="Times New Roman" w:eastAsia="仿宋_GB2312" w:cs="Times New Roman"/>
          <w:sz w:val="32"/>
          <w:szCs w:val="32"/>
        </w:rPr>
        <w:t>乘以对应广州市五级十档计提比例11%，因计算结果2.4024万元/亩低于该档最低计提标准2.47</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元/亩，按最低计提标准执行），其中</w:t>
      </w:r>
      <w:r>
        <w:rPr>
          <w:rFonts w:hint="eastAsia" w:ascii="Times New Roman" w:hAnsi="Times New Roman" w:eastAsia="仿宋_GB2312" w:cs="Times New Roman"/>
          <w:kern w:val="0"/>
          <w:sz w:val="32"/>
          <w:szCs w:val="32"/>
          <w:shd w:val="clear" w:color="auto" w:fill="FFFFFF"/>
          <w:lang w:bidi="ar"/>
        </w:rPr>
        <w:t>0</w:t>
      </w:r>
      <w:r>
        <w:rPr>
          <w:rFonts w:ascii="Times New Roman" w:hAnsi="Times New Roman" w:eastAsia="仿宋_GB2312" w:cs="Times New Roman"/>
          <w:sz w:val="32"/>
          <w:szCs w:val="32"/>
        </w:rPr>
        <w:t>亩属于农村集体经济组织留用地，按规定不计提征地社保费，</w:t>
      </w:r>
      <w:r>
        <w:rPr>
          <w:rFonts w:ascii="Times New Roman" w:hAnsi="Times New Roman" w:eastAsia="仿宋_GB2312" w:cs="Times New Roman"/>
          <w:kern w:val="0"/>
          <w:sz w:val="32"/>
          <w:szCs w:val="32"/>
          <w:shd w:val="clear" w:color="auto" w:fill="FFFFFF"/>
          <w:lang w:bidi="ar"/>
        </w:rPr>
        <w:t>需计提资金共</w:t>
      </w:r>
      <w:r>
        <w:rPr>
          <w:rFonts w:hint="eastAsia" w:ascii="Times New Roman" w:hAnsi="Times New Roman" w:eastAsia="仿宋_GB2312" w:cs="Times New Roman"/>
          <w:kern w:val="0"/>
          <w:sz w:val="32"/>
          <w:szCs w:val="32"/>
          <w:shd w:val="clear" w:color="auto" w:fill="FFFFFF"/>
          <w:lang w:bidi="ar"/>
        </w:rPr>
        <w:t>780.66</w:t>
      </w:r>
      <w:r>
        <w:rPr>
          <w:rFonts w:ascii="Times New Roman" w:hAnsi="Times New Roman" w:eastAsia="仿宋_GB2312" w:cs="Times New Roman"/>
          <w:kern w:val="0"/>
          <w:sz w:val="32"/>
          <w:szCs w:val="32"/>
          <w:shd w:val="clear" w:color="auto" w:fill="FFFFFF"/>
          <w:lang w:bidi="ar"/>
        </w:rPr>
        <w:t>万元由征地主体（用地单位）</w:t>
      </w:r>
      <w:r>
        <w:rPr>
          <w:rFonts w:ascii="Times New Roman" w:hAnsi="Times New Roman" w:eastAsia="仿宋_GB2312" w:cs="Times New Roman"/>
          <w:sz w:val="32"/>
          <w:szCs w:val="32"/>
        </w:rPr>
        <w:t>一次性预存入我区人力资源社会保障部门开设的“收缴被征地农民养老保障资金过渡户”，计入征地成本，纳入工程项目概算。</w:t>
      </w:r>
    </w:p>
    <w:p>
      <w:pPr>
        <w:spacing w:line="560" w:lineRule="exact"/>
        <w:ind w:firstLine="643"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b/>
          <w:bCs/>
          <w:kern w:val="0"/>
          <w:sz w:val="32"/>
          <w:szCs w:val="32"/>
        </w:rPr>
        <w:t>三、征地社保费补贴对象。</w:t>
      </w:r>
      <w:r>
        <w:rPr>
          <w:rFonts w:ascii="Times New Roman" w:hAnsi="Times New Roman" w:eastAsia="仿宋_GB2312" w:cs="Times New Roman"/>
          <w:kern w:val="0"/>
          <w:sz w:val="32"/>
          <w:szCs w:val="32"/>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pStyle w:val="3"/>
        <w:ind w:firstLine="480"/>
        <w:rPr>
          <w:rFonts w:ascii="Times New Roman" w:hAnsi="Times New Roman" w:cs="Times New Roman"/>
        </w:rPr>
      </w:pP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附表：征地土地和养老保障情况一览表  </w:t>
      </w: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附表：</w:t>
      </w:r>
    </w:p>
    <w:p>
      <w:pPr>
        <w:spacing w:line="600" w:lineRule="exact"/>
        <w:ind w:right="21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征地土地和养老保障情况一览表</w:t>
      </w:r>
    </w:p>
    <w:p>
      <w:pPr>
        <w:pStyle w:val="3"/>
        <w:ind w:firstLine="643"/>
        <w:rPr>
          <w:rFonts w:ascii="Times New Roman" w:hAnsi="Times New Roman" w:eastAsia="仿宋_GB2312" w:cs="Times New Roman"/>
        </w:rPr>
      </w:pPr>
      <w:r>
        <w:rPr>
          <w:rFonts w:ascii="Times New Roman" w:hAnsi="Times New Roman" w:eastAsia="仿宋_GB2312" w:cs="Times New Roman"/>
          <w:b/>
          <w:bCs/>
          <w:sz w:val="32"/>
          <w:szCs w:val="32"/>
        </w:rPr>
        <w:t xml:space="preserve">                                    </w:t>
      </w:r>
      <w:r>
        <w:rPr>
          <w:rFonts w:ascii="Times New Roman" w:hAnsi="Times New Roman" w:cs="Times New Roman"/>
          <w:sz w:val="28"/>
          <w:szCs w:val="28"/>
        </w:rPr>
        <w:t>单位：亩、万元</w:t>
      </w:r>
    </w:p>
    <w:tbl>
      <w:tblPr>
        <w:tblStyle w:val="4"/>
        <w:tblpPr w:leftFromText="180" w:rightFromText="180" w:vertAnchor="text" w:horzAnchor="page" w:tblpX="1277" w:tblpY="218"/>
        <w:tblOverlap w:val="never"/>
        <w:tblW w:w="987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03"/>
        <w:gridCol w:w="3360"/>
        <w:gridCol w:w="1545"/>
        <w:gridCol w:w="1875"/>
        <w:gridCol w:w="19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rPr>
        <w:tc>
          <w:tcPr>
            <w:tcW w:w="4463" w:type="dxa"/>
            <w:gridSpan w:val="2"/>
            <w:tcMar>
              <w:left w:w="108" w:type="dxa"/>
              <w:right w:w="108" w:type="dxa"/>
            </w:tcMar>
            <w:vAlign w:val="center"/>
          </w:tcPr>
          <w:p>
            <w:pPr>
              <w:widowControl/>
              <w:shd w:val="clear" w:color="auto" w:fill="FFFFFF"/>
              <w:spacing w:line="0" w:lineRule="atLeast"/>
              <w:jc w:val="center"/>
              <w:rPr>
                <w:rFonts w:ascii="Times New Roman" w:hAnsi="Times New Roman" w:eastAsia="仿宋_GB2312" w:cs="Times New Roman"/>
                <w:kern w:val="0"/>
                <w:sz w:val="28"/>
                <w:szCs w:val="28"/>
                <w:shd w:val="clear" w:color="auto" w:fill="FFFFFF"/>
                <w:lang w:bidi="ar"/>
              </w:rPr>
            </w:pPr>
            <w:r>
              <w:rPr>
                <w:rFonts w:ascii="Times New Roman" w:hAnsi="Times New Roman" w:eastAsia="仿宋_GB2312" w:cs="Times New Roman"/>
                <w:kern w:val="0"/>
                <w:sz w:val="28"/>
                <w:szCs w:val="28"/>
                <w:shd w:val="clear" w:color="auto" w:fill="FFFFFF"/>
                <w:lang w:bidi="ar"/>
              </w:rPr>
              <w:t>被征地单位</w:t>
            </w:r>
          </w:p>
        </w:tc>
        <w:tc>
          <w:tcPr>
            <w:tcW w:w="1545" w:type="dxa"/>
            <w:vMerge w:val="restart"/>
            <w:tcMar>
              <w:left w:w="108" w:type="dxa"/>
              <w:right w:w="108" w:type="dxa"/>
            </w:tcMar>
            <w:vAlign w:val="center"/>
          </w:tcPr>
          <w:p>
            <w:pPr>
              <w:widowControl/>
              <w:shd w:val="clear" w:color="auto" w:fill="FFFFFF"/>
              <w:spacing w:line="0" w:lineRule="atLeast"/>
              <w:jc w:val="center"/>
              <w:rPr>
                <w:rFonts w:ascii="Times New Roman" w:hAnsi="Times New Roman" w:eastAsia="仿宋_GB2312" w:cs="Times New Roman"/>
                <w:kern w:val="0"/>
                <w:sz w:val="28"/>
                <w:szCs w:val="28"/>
                <w:shd w:val="clear" w:color="auto" w:fill="FFFFFF"/>
                <w:lang w:bidi="ar"/>
              </w:rPr>
            </w:pPr>
            <w:r>
              <w:rPr>
                <w:rFonts w:ascii="Times New Roman" w:hAnsi="Times New Roman" w:eastAsia="仿宋_GB2312" w:cs="Times New Roman"/>
                <w:kern w:val="0"/>
                <w:sz w:val="28"/>
                <w:szCs w:val="28"/>
                <w:shd w:val="clear" w:color="auto" w:fill="FFFFFF"/>
                <w:lang w:bidi="ar"/>
              </w:rPr>
              <w:t>征收集体土地面积（亩）</w:t>
            </w:r>
          </w:p>
        </w:tc>
        <w:tc>
          <w:tcPr>
            <w:tcW w:w="1875" w:type="dxa"/>
            <w:vMerge w:val="restart"/>
            <w:tcMar>
              <w:left w:w="108" w:type="dxa"/>
              <w:right w:w="108" w:type="dxa"/>
            </w:tcMar>
            <w:vAlign w:val="center"/>
          </w:tcPr>
          <w:p>
            <w:pPr>
              <w:widowControl/>
              <w:shd w:val="clear" w:color="auto" w:fill="FFFFFF"/>
              <w:spacing w:line="0" w:lineRule="atLeast"/>
              <w:jc w:val="center"/>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28"/>
                <w:szCs w:val="28"/>
              </w:rPr>
              <w:t>其中属于被征地单位留用地面积</w:t>
            </w:r>
          </w:p>
        </w:tc>
        <w:tc>
          <w:tcPr>
            <w:tcW w:w="1988" w:type="dxa"/>
            <w:vMerge w:val="restart"/>
            <w:tcMar>
              <w:left w:w="108" w:type="dxa"/>
              <w:right w:w="108" w:type="dxa"/>
            </w:tcMar>
            <w:vAlign w:val="center"/>
          </w:tcPr>
          <w:p>
            <w:pPr>
              <w:widowControl/>
              <w:shd w:val="clear" w:color="auto" w:fill="FFFFFF"/>
              <w:spacing w:line="0" w:lineRule="atLeast"/>
              <w:jc w:val="center"/>
              <w:rPr>
                <w:rFonts w:ascii="Times New Roman" w:hAnsi="Times New Roman" w:eastAsia="仿宋_GB2312" w:cs="Times New Roman"/>
                <w:kern w:val="0"/>
                <w:sz w:val="28"/>
                <w:szCs w:val="28"/>
                <w:shd w:val="clear" w:color="auto" w:fill="FFFFFF"/>
                <w:lang w:bidi="ar"/>
              </w:rPr>
            </w:pPr>
            <w:r>
              <w:rPr>
                <w:rFonts w:ascii="Times New Roman" w:hAnsi="Times New Roman" w:eastAsia="仿宋_GB2312" w:cs="Times New Roman"/>
                <w:kern w:val="0"/>
                <w:sz w:val="32"/>
                <w:szCs w:val="32"/>
                <w:shd w:val="clear" w:color="auto" w:fill="FFFFFF"/>
                <w:lang w:bidi="ar"/>
              </w:rPr>
              <w:t>需计提征地社保费（万元）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镇/街</w:t>
            </w:r>
          </w:p>
        </w:tc>
        <w:tc>
          <w:tcPr>
            <w:tcW w:w="3360"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kern w:val="0"/>
                <w:sz w:val="28"/>
                <w:szCs w:val="28"/>
              </w:rPr>
              <w:t>经济合作社/经济联合社</w:t>
            </w:r>
          </w:p>
        </w:tc>
        <w:tc>
          <w:tcPr>
            <w:tcW w:w="1545" w:type="dxa"/>
            <w:vMerge w:val="continue"/>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p>
        </w:tc>
        <w:tc>
          <w:tcPr>
            <w:tcW w:w="1875" w:type="dxa"/>
            <w:vMerge w:val="continue"/>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p>
        </w:tc>
        <w:tc>
          <w:tcPr>
            <w:tcW w:w="1988" w:type="dxa"/>
            <w:vMerge w:val="continue"/>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九佛街</w:t>
            </w:r>
          </w:p>
        </w:tc>
        <w:tc>
          <w:tcPr>
            <w:tcW w:w="3360" w:type="dxa"/>
            <w:tcMar>
              <w:left w:w="108" w:type="dxa"/>
              <w:right w:w="108" w:type="dxa"/>
            </w:tcMar>
            <w:vAlign w:val="center"/>
          </w:tcPr>
          <w:p>
            <w:pPr>
              <w:widowControl/>
              <w:jc w:val="left"/>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枫下村新兰经济合作社</w:t>
            </w:r>
          </w:p>
        </w:tc>
        <w:tc>
          <w:tcPr>
            <w:tcW w:w="154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 xml:space="preserve">1.8015 </w:t>
            </w:r>
          </w:p>
        </w:tc>
        <w:tc>
          <w:tcPr>
            <w:tcW w:w="187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0</w:t>
            </w:r>
          </w:p>
        </w:tc>
        <w:tc>
          <w:tcPr>
            <w:tcW w:w="1988"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4.45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九佛街</w:t>
            </w:r>
          </w:p>
        </w:tc>
        <w:tc>
          <w:tcPr>
            <w:tcW w:w="3360" w:type="dxa"/>
            <w:tcMar>
              <w:left w:w="108" w:type="dxa"/>
              <w:right w:w="108" w:type="dxa"/>
            </w:tcMar>
            <w:vAlign w:val="center"/>
          </w:tcPr>
          <w:p>
            <w:pPr>
              <w:widowControl/>
              <w:jc w:val="left"/>
              <w:textAlignment w:val="center"/>
              <w:rPr>
                <w:rFonts w:ascii="Times New Roman" w:hAnsi="Times New Roman" w:eastAsia="仿宋_GB2312" w:cs="Times New Roman"/>
                <w:kern w:val="0"/>
                <w:sz w:val="28"/>
                <w:szCs w:val="28"/>
                <w:shd w:val="clear" w:color="auto" w:fill="FFFFFF"/>
                <w:lang w:bidi="ar"/>
              </w:rPr>
            </w:pPr>
            <w:r>
              <w:rPr>
                <w:rFonts w:ascii="Times New Roman" w:hAnsi="Times New Roman" w:eastAsia="仿宋_GB2312" w:cs="Times New Roman"/>
                <w:color w:val="000000"/>
                <w:kern w:val="0"/>
                <w:sz w:val="28"/>
                <w:szCs w:val="28"/>
                <w:lang w:bidi="ar"/>
              </w:rPr>
              <w:t>凤尾村第六经济合作社</w:t>
            </w:r>
          </w:p>
        </w:tc>
        <w:tc>
          <w:tcPr>
            <w:tcW w:w="154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 xml:space="preserve">101.8875 </w:t>
            </w:r>
          </w:p>
        </w:tc>
        <w:tc>
          <w:tcPr>
            <w:tcW w:w="187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0</w:t>
            </w:r>
          </w:p>
        </w:tc>
        <w:tc>
          <w:tcPr>
            <w:tcW w:w="1988"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251.67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九佛街</w:t>
            </w:r>
          </w:p>
        </w:tc>
        <w:tc>
          <w:tcPr>
            <w:tcW w:w="3360" w:type="dxa"/>
            <w:tcMar>
              <w:left w:w="108" w:type="dxa"/>
              <w:right w:w="108" w:type="dxa"/>
            </w:tcMar>
            <w:vAlign w:val="center"/>
          </w:tcPr>
          <w:p>
            <w:pPr>
              <w:widowControl/>
              <w:jc w:val="left"/>
              <w:textAlignment w:val="center"/>
              <w:rPr>
                <w:rFonts w:ascii="Times New Roman" w:hAnsi="Times New Roman" w:eastAsia="仿宋_GB2312" w:cs="Times New Roman"/>
                <w:kern w:val="0"/>
                <w:sz w:val="28"/>
                <w:szCs w:val="28"/>
                <w:shd w:val="clear" w:color="auto" w:fill="FFFFFF"/>
                <w:lang w:bidi="ar"/>
              </w:rPr>
            </w:pPr>
            <w:r>
              <w:rPr>
                <w:rFonts w:ascii="Times New Roman" w:hAnsi="Times New Roman" w:eastAsia="仿宋_GB2312" w:cs="Times New Roman"/>
                <w:color w:val="000000"/>
                <w:kern w:val="0"/>
                <w:sz w:val="28"/>
                <w:szCs w:val="28"/>
                <w:lang w:bidi="ar"/>
              </w:rPr>
              <w:t>凤尾村第七经济合作社</w:t>
            </w:r>
          </w:p>
        </w:tc>
        <w:tc>
          <w:tcPr>
            <w:tcW w:w="154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 xml:space="preserve">56.4750 </w:t>
            </w:r>
          </w:p>
        </w:tc>
        <w:tc>
          <w:tcPr>
            <w:tcW w:w="187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0</w:t>
            </w:r>
          </w:p>
        </w:tc>
        <w:tc>
          <w:tcPr>
            <w:tcW w:w="1988"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139.50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九佛街</w:t>
            </w:r>
          </w:p>
        </w:tc>
        <w:tc>
          <w:tcPr>
            <w:tcW w:w="3360" w:type="dxa"/>
            <w:tcMar>
              <w:left w:w="108" w:type="dxa"/>
              <w:right w:w="108" w:type="dxa"/>
            </w:tcMar>
            <w:vAlign w:val="center"/>
          </w:tcPr>
          <w:p>
            <w:pPr>
              <w:widowControl/>
              <w:jc w:val="left"/>
              <w:textAlignment w:val="center"/>
              <w:rPr>
                <w:rFonts w:ascii="Times New Roman" w:hAnsi="Times New Roman" w:eastAsia="仿宋_GB2312" w:cs="Times New Roman"/>
                <w:kern w:val="0"/>
                <w:sz w:val="28"/>
                <w:szCs w:val="28"/>
                <w:shd w:val="clear" w:color="auto" w:fill="FFFFFF"/>
                <w:lang w:bidi="ar"/>
              </w:rPr>
            </w:pPr>
            <w:r>
              <w:rPr>
                <w:rFonts w:ascii="Times New Roman" w:hAnsi="Times New Roman" w:eastAsia="仿宋_GB2312" w:cs="Times New Roman"/>
                <w:color w:val="000000"/>
                <w:kern w:val="0"/>
                <w:sz w:val="28"/>
                <w:szCs w:val="28"/>
                <w:lang w:bidi="ar"/>
              </w:rPr>
              <w:t>凤尾村经济联合社</w:t>
            </w:r>
          </w:p>
        </w:tc>
        <w:tc>
          <w:tcPr>
            <w:tcW w:w="154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 xml:space="preserve">43.1145 </w:t>
            </w:r>
          </w:p>
        </w:tc>
        <w:tc>
          <w:tcPr>
            <w:tcW w:w="187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0</w:t>
            </w:r>
          </w:p>
        </w:tc>
        <w:tc>
          <w:tcPr>
            <w:tcW w:w="1988"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106.50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1103"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九佛街</w:t>
            </w:r>
          </w:p>
        </w:tc>
        <w:tc>
          <w:tcPr>
            <w:tcW w:w="3360" w:type="dxa"/>
            <w:tcMar>
              <w:left w:w="108" w:type="dxa"/>
              <w:right w:w="108" w:type="dxa"/>
            </w:tcMar>
            <w:vAlign w:val="center"/>
          </w:tcPr>
          <w:p>
            <w:pPr>
              <w:widowControl/>
              <w:jc w:val="left"/>
              <w:textAlignment w:val="center"/>
              <w:rPr>
                <w:rFonts w:ascii="Times New Roman" w:hAnsi="Times New Roman" w:eastAsia="仿宋_GB2312" w:cs="Times New Roman"/>
                <w:bCs/>
                <w:sz w:val="28"/>
                <w:szCs w:val="28"/>
              </w:rPr>
            </w:pPr>
            <w:r>
              <w:rPr>
                <w:rFonts w:ascii="Times New Roman" w:hAnsi="Times New Roman" w:eastAsia="仿宋_GB2312" w:cs="Times New Roman"/>
                <w:color w:val="000000"/>
                <w:kern w:val="0"/>
                <w:sz w:val="28"/>
                <w:szCs w:val="28"/>
                <w:lang w:bidi="ar"/>
              </w:rPr>
              <w:t>红卫村新南村经济合作社</w:t>
            </w:r>
          </w:p>
        </w:tc>
        <w:tc>
          <w:tcPr>
            <w:tcW w:w="154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 xml:space="preserve">112.7670 </w:t>
            </w:r>
          </w:p>
        </w:tc>
        <w:tc>
          <w:tcPr>
            <w:tcW w:w="187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0</w:t>
            </w:r>
          </w:p>
        </w:tc>
        <w:tc>
          <w:tcPr>
            <w:tcW w:w="1988"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278.54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4463" w:type="dxa"/>
            <w:gridSpan w:val="2"/>
            <w:tcMar>
              <w:left w:w="108" w:type="dxa"/>
              <w:right w:w="108" w:type="dxa"/>
            </w:tcMar>
            <w:vAlign w:val="center"/>
          </w:tcPr>
          <w:p>
            <w:pPr>
              <w:widowControl/>
              <w:shd w:val="clear" w:color="auto" w:fill="FFFFFF"/>
              <w:spacing w:line="0" w:lineRule="atLeast"/>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合计</w:t>
            </w:r>
          </w:p>
        </w:tc>
        <w:tc>
          <w:tcPr>
            <w:tcW w:w="154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 xml:space="preserve">316.0455 </w:t>
            </w:r>
          </w:p>
        </w:tc>
        <w:tc>
          <w:tcPr>
            <w:tcW w:w="1875"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0</w:t>
            </w:r>
          </w:p>
        </w:tc>
        <w:tc>
          <w:tcPr>
            <w:tcW w:w="1988" w:type="dxa"/>
            <w:tcMar>
              <w:left w:w="108" w:type="dxa"/>
              <w:right w:w="108" w:type="dxa"/>
            </w:tcMar>
            <w:vAlign w:val="center"/>
          </w:tcPr>
          <w:p>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780.66</w:t>
            </w:r>
          </w:p>
        </w:tc>
      </w:tr>
    </w:tbl>
    <w:p>
      <w:pPr>
        <w:spacing w:line="320" w:lineRule="exact"/>
        <w:ind w:right="210"/>
        <w:jc w:val="left"/>
        <w:rPr>
          <w:rFonts w:ascii="Times New Roman" w:hAnsi="Times New Roman" w:cs="Times New Roman"/>
        </w:rPr>
      </w:pPr>
    </w:p>
    <w:p>
      <w:pPr>
        <w:spacing w:line="320" w:lineRule="exact"/>
        <w:ind w:right="210" w:firstLine="240" w:firstLineChars="1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说明：</w:t>
      </w:r>
    </w:p>
    <w:p>
      <w:pPr>
        <w:spacing w:line="320" w:lineRule="exact"/>
        <w:ind w:right="-420" w:rightChars="-200" w:firstLine="480" w:firstLineChars="20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1、征地社保费计提标准2.47万元/亩，征地社保费计算结果向上取整，精确到百元。</w:t>
      </w:r>
    </w:p>
    <w:p>
      <w:pPr>
        <w:spacing w:line="320" w:lineRule="exact"/>
        <w:ind w:right="210" w:firstLine="480" w:firstLineChars="200"/>
        <w:jc w:val="left"/>
        <w:rPr>
          <w:rFonts w:ascii="Times New Roman" w:hAnsi="Times New Roman" w:cs="Times New Roman"/>
        </w:rPr>
      </w:pPr>
      <w:r>
        <w:rPr>
          <w:rFonts w:ascii="Times New Roman" w:hAnsi="Times New Roman" w:eastAsia="仿宋_GB2312" w:cs="Times New Roman"/>
          <w:sz w:val="24"/>
          <w:szCs w:val="28"/>
        </w:rPr>
        <w:t>2、被征收土地属于农村集体经济组织留用地的，不计提征地社保费。</w:t>
      </w:r>
    </w:p>
    <w:p>
      <w:pPr>
        <w:pStyle w:val="3"/>
        <w:rPr>
          <w:rFonts w:ascii="Times New Roman" w:hAnsi="Times New Roman" w:cs="Times New Roman"/>
        </w:rPr>
      </w:pPr>
    </w:p>
    <w:p>
      <w:pPr>
        <w:pStyle w:val="3"/>
        <w:ind w:firstLine="480"/>
        <w:rPr>
          <w:rFonts w:ascii="Times New Roman" w:hAnsi="Times New Roman" w:cs="Times New Roman"/>
        </w:rPr>
      </w:pPr>
      <w:bookmarkStart w:id="0" w:name="_GoBack"/>
      <w:bookmarkEnd w:id="0"/>
    </w:p>
    <w:p>
      <w:pPr>
        <w:pStyle w:val="3"/>
        <w:ind w:left="0" w:leftChars="0" w:firstLine="0" w:firstLineChars="0"/>
        <w:rPr>
          <w:rFonts w:ascii="Times New Roman" w:hAnsi="Times New Roman" w:cs="Times New Roman"/>
        </w:rPr>
      </w:pPr>
    </w:p>
    <w:p>
      <w:pPr>
        <w:pStyle w:val="3"/>
        <w:ind w:left="0" w:leftChars="0" w:firstLine="0" w:firstLineChars="0"/>
        <w:rPr>
          <w:rFonts w:ascii="Times New Roman" w:hAnsi="Times New Roman" w:cs="Times New Roman"/>
        </w:rPr>
      </w:pPr>
    </w:p>
    <w:p>
      <w:pPr>
        <w:pStyle w:val="3"/>
        <w:ind w:left="0" w:leftChars="0" w:firstLine="0" w:firstLineChars="0"/>
        <w:rPr>
          <w:rFonts w:ascii="Times New Roman" w:hAnsi="Times New Roman" w:cs="Times New Roman"/>
        </w:rPr>
      </w:pPr>
    </w:p>
    <w:p>
      <w:pPr>
        <w:pStyle w:val="3"/>
        <w:ind w:firstLine="480"/>
        <w:rPr>
          <w:rFonts w:ascii="Times New Roman" w:hAnsi="Times New Roman" w:cs="Times New Roman"/>
        </w:rPr>
      </w:pPr>
    </w:p>
    <w:p>
      <w:pPr>
        <w:jc w:val="right"/>
        <w:rPr>
          <w:rFonts w:ascii="Times New Roman" w:hAnsi="Times New Roman" w:eastAsia="仿宋_GB2312" w:cs="Times New Roman"/>
          <w:kern w:val="32"/>
          <w:sz w:val="32"/>
          <w:szCs w:val="32"/>
        </w:rPr>
      </w:pPr>
      <w:r>
        <w:rPr>
          <w:rFonts w:ascii="Times New Roman" w:hAnsi="Times New Roman" w:eastAsia="仿宋_GB2312" w:cs="Times New Roman"/>
          <w:kern w:val="32"/>
          <w:sz w:val="32"/>
          <w:szCs w:val="32"/>
        </w:rPr>
        <w:t>广州市黄埔区人力资源和社会保障局</w:t>
      </w:r>
    </w:p>
    <w:p>
      <w:pPr>
        <w:jc w:val="center"/>
      </w:pPr>
      <w:r>
        <w:rPr>
          <w:rFonts w:ascii="Times New Roman" w:hAnsi="Times New Roman" w:eastAsia="仿宋_GB2312" w:cs="Times New Roman"/>
          <w:kern w:val="32"/>
          <w:sz w:val="32"/>
          <w:szCs w:val="32"/>
        </w:rPr>
        <w:t xml:space="preserve">                          2022年</w:t>
      </w:r>
      <w:r>
        <w:rPr>
          <w:rFonts w:hint="eastAsia" w:ascii="Times New Roman" w:hAnsi="Times New Roman" w:eastAsia="仿宋_GB2312" w:cs="Times New Roman"/>
          <w:kern w:val="32"/>
          <w:sz w:val="32"/>
          <w:szCs w:val="32"/>
        </w:rPr>
        <w:t>8</w:t>
      </w:r>
      <w:r>
        <w:rPr>
          <w:rFonts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rPr>
        <w:t>19</w:t>
      </w:r>
      <w:r>
        <w:rPr>
          <w:rFonts w:ascii="Times New Roman" w:hAnsi="Times New Roman" w:eastAsia="仿宋_GB2312" w:cs="Times New Roman"/>
          <w:kern w:val="3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14DA2"/>
    <w:rsid w:val="0C71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2022-09-15T03:02:00Z</dcterms:created>
  <dc:creator>陈颖子</dc:creator>
  <cp:lastModifiedBy>陈颖子</cp:lastModifiedBy>
  <dcterms:modified xsi:type="dcterms:W3CDTF">2022-09-15T03:04:08Z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