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pacing w:after="156" w:afterLines="50" w:line="560" w:lineRule="exact"/>
        <w:jc w:val="center"/>
        <w:textAlignment w:val="auto"/>
        <w:outlineLvl w:val="9"/>
        <w:rPr>
          <w:rFonts w:ascii="黑体" w:hAnsi="黑体" w:eastAsia="黑体" w:cs="黑体"/>
          <w:color w:val="000000" w:themeColor="text1"/>
          <w:sz w:val="44"/>
          <w:szCs w:val="52"/>
          <w14:textFill>
            <w14:solidFill>
              <w14:schemeClr w14:val="tx1"/>
            </w14:solidFill>
          </w14:textFill>
        </w:rPr>
      </w:pPr>
    </w:p>
    <w:p>
      <w:pPr>
        <w:keepNext w:val="0"/>
        <w:keepLines w:val="0"/>
        <w:pageBreakBefore w:val="0"/>
        <w:kinsoku/>
        <w:wordWrap/>
        <w:overflowPunct/>
        <w:topLinePunct w:val="0"/>
        <w:autoSpaceDE/>
        <w:autoSpaceDN/>
        <w:bidi w:val="0"/>
        <w:adjustRightInd/>
        <w:spacing w:after="156" w:afterLines="50" w:line="560" w:lineRule="exact"/>
        <w:jc w:val="center"/>
        <w:textAlignment w:val="auto"/>
        <w:outlineLvl w:val="9"/>
        <w:rPr>
          <w:rFonts w:ascii="黑体" w:hAnsi="黑体" w:eastAsia="黑体" w:cs="黑体"/>
          <w:color w:val="000000" w:themeColor="text1"/>
          <w:sz w:val="44"/>
          <w:szCs w:val="52"/>
          <w14:textFill>
            <w14:solidFill>
              <w14:schemeClr w14:val="tx1"/>
            </w14:solidFill>
          </w14:textFill>
        </w:rPr>
      </w:pPr>
      <w:r>
        <w:rPr>
          <w:rFonts w:hint="eastAsia" w:ascii="黑体" w:hAnsi="黑体" w:eastAsia="黑体" w:cs="黑体"/>
          <w:color w:val="000000" w:themeColor="text1"/>
          <w:sz w:val="44"/>
          <w:szCs w:val="52"/>
          <w14:textFill>
            <w14:solidFill>
              <w14:schemeClr w14:val="tx1"/>
            </w14:solidFill>
          </w14:textFill>
        </w:rPr>
        <w:t>征地补偿安置方案</w:t>
      </w:r>
    </w:p>
    <w:p>
      <w:pPr>
        <w:keepNext w:val="0"/>
        <w:keepLines w:val="0"/>
        <w:pageBreakBefore w:val="0"/>
        <w:kinsoku/>
        <w:wordWrap/>
        <w:overflowPunct/>
        <w:topLinePunct w:val="0"/>
        <w:autoSpaceDE/>
        <w:autoSpaceDN/>
        <w:bidi w:val="0"/>
        <w:adjustRightInd/>
        <w:spacing w:after="156" w:afterLines="50" w:line="560" w:lineRule="exact"/>
        <w:jc w:val="center"/>
        <w:textAlignment w:val="auto"/>
        <w:outlineLvl w:val="9"/>
        <w:rPr>
          <w:rFonts w:ascii="黑体" w:hAnsi="黑体" w:eastAsia="黑体" w:cs="黑体"/>
          <w:color w:val="000000" w:themeColor="text1"/>
          <w:sz w:val="44"/>
          <w:szCs w:val="52"/>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为实施城镇规划，广州市南沙区人民政府拟征收</w:t>
      </w:r>
      <w:r>
        <w:rPr>
          <w:rFonts w:hint="eastAsia" w:ascii="Times New Roman" w:hAnsi="Times New Roman" w:eastAsia="仿宋_GB2312"/>
          <w:color w:val="000000" w:themeColor="text1"/>
          <w:sz w:val="32"/>
          <w:szCs w:val="32"/>
          <w14:textFill>
            <w14:solidFill>
              <w14:schemeClr w14:val="tx1"/>
            </w14:solidFill>
          </w14:textFill>
        </w:rPr>
        <w:t>广州市南沙区大岗镇新联二股份合作经济联合社</w:t>
      </w:r>
      <w:r>
        <w:rPr>
          <w:rFonts w:ascii="Times New Roman" w:hAnsi="Times New Roman" w:eastAsia="仿宋_GB2312"/>
          <w:color w:val="000000" w:themeColor="text1"/>
          <w:sz w:val="32"/>
          <w:szCs w:val="32"/>
          <w14:textFill>
            <w14:solidFill>
              <w14:schemeClr w14:val="tx1"/>
            </w14:solidFill>
          </w14:textFill>
        </w:rPr>
        <w:t>集体土地</w:t>
      </w:r>
      <w:r>
        <w:rPr>
          <w:rFonts w:hint="eastAsia" w:ascii="Times New Roman" w:hAnsi="Times New Roman" w:eastAsia="仿宋_GB2312"/>
          <w:color w:val="000000" w:themeColor="text1"/>
          <w:sz w:val="32"/>
          <w:szCs w:val="32"/>
          <w:lang w:eastAsia="zh-CN"/>
          <w14:textFill>
            <w14:solidFill>
              <w14:schemeClr w14:val="tx1"/>
            </w14:solidFill>
          </w14:textFill>
        </w:rPr>
        <w:t>，共计</w:t>
      </w:r>
      <w:r>
        <w:rPr>
          <w:rFonts w:hint="eastAsia" w:ascii="Times New Roman" w:hAnsi="Times New Roman" w:eastAsia="仿宋_GB2312"/>
          <w:color w:val="000000" w:themeColor="text1"/>
          <w:sz w:val="32"/>
          <w:szCs w:val="32"/>
          <w:lang w:val="en-US" w:eastAsia="zh-CN"/>
          <w14:textFill>
            <w14:solidFill>
              <w14:schemeClr w14:val="tx1"/>
            </w14:solidFill>
          </w14:textFill>
        </w:rPr>
        <w:t>8.1168</w:t>
      </w:r>
      <w:r>
        <w:rPr>
          <w:rFonts w:ascii="Times New Roman" w:hAnsi="Times New Roman" w:eastAsia="仿宋_GB2312"/>
          <w:color w:val="000000" w:themeColor="text1"/>
          <w:sz w:val="32"/>
          <w:szCs w:val="32"/>
          <w14:textFill>
            <w14:solidFill>
              <w14:schemeClr w14:val="tx1"/>
            </w14:solidFill>
          </w14:textFill>
        </w:rPr>
        <w:t>公顷</w:t>
      </w:r>
      <w:r>
        <w:rPr>
          <w:rFonts w:hint="eastAsia" w:ascii="仿宋_GB2312" w:eastAsia="仿宋_GB2312"/>
          <w:color w:val="000000" w:themeColor="text1"/>
          <w:sz w:val="32"/>
          <w:szCs w:val="32"/>
          <w14:textFill>
            <w14:solidFill>
              <w14:schemeClr w14:val="tx1"/>
            </w14:solidFill>
          </w14:textFill>
        </w:rPr>
        <w:t>作为广州市南沙区</w:t>
      </w:r>
      <w:r>
        <w:rPr>
          <w:rFonts w:hint="eastAsia" w:ascii="Times New Roman" w:hAnsi="Times New Roman" w:eastAsia="仿宋_GB2312"/>
          <w:color w:val="000000" w:themeColor="text1"/>
          <w:sz w:val="32"/>
          <w:szCs w:val="32"/>
          <w:lang w:val="en-US" w:eastAsia="zh-CN"/>
          <w14:textFill>
            <w14:solidFill>
              <w14:schemeClr w14:val="tx1"/>
            </w14:solidFill>
          </w14:textFill>
        </w:rPr>
        <w:t>2021</w:t>
      </w:r>
      <w:r>
        <w:rPr>
          <w:rFonts w:hint="eastAsia" w:ascii="仿宋_GB2312" w:eastAsia="仿宋_GB2312"/>
          <w:color w:val="000000" w:themeColor="text1"/>
          <w:sz w:val="32"/>
          <w:szCs w:val="32"/>
          <w14:textFill>
            <w14:solidFill>
              <w14:schemeClr w14:val="tx1"/>
            </w14:solidFill>
          </w14:textFill>
        </w:rPr>
        <w:t>年度第</w:t>
      </w:r>
      <w:r>
        <w:rPr>
          <w:rFonts w:hint="eastAsia" w:ascii="仿宋_GB2312" w:eastAsia="仿宋_GB2312"/>
          <w:color w:val="000000" w:themeColor="text1"/>
          <w:sz w:val="32"/>
          <w:szCs w:val="32"/>
          <w:lang w:eastAsia="zh-CN"/>
          <w14:textFill>
            <w14:solidFill>
              <w14:schemeClr w14:val="tx1"/>
            </w14:solidFill>
          </w14:textFill>
        </w:rPr>
        <w:t>三十九</w:t>
      </w:r>
      <w:r>
        <w:rPr>
          <w:rFonts w:hint="eastAsia" w:ascii="仿宋_GB2312" w:eastAsia="仿宋_GB2312"/>
          <w:color w:val="000000" w:themeColor="text1"/>
          <w:sz w:val="32"/>
          <w:szCs w:val="32"/>
          <w14:textFill>
            <w14:solidFill>
              <w14:schemeClr w14:val="tx1"/>
            </w14:solidFill>
          </w14:textFill>
        </w:rPr>
        <w:t>批次城镇建设用地</w:t>
      </w:r>
      <w:r>
        <w:rPr>
          <w:rFonts w:hint="eastAsia" w:eastAsia="仿宋_GB2312"/>
          <w:color w:val="000000" w:themeColor="text1"/>
          <w:sz w:val="32"/>
          <w:szCs w:val="32"/>
          <w14:textFill>
            <w14:solidFill>
              <w14:schemeClr w14:val="tx1"/>
            </w14:solidFill>
          </w14:textFill>
        </w:rPr>
        <w:t>。根据《中华人民共和国土地管理法》《中华人民共和国土地管理法实施条例》等规定以及广州市征收农用地区片综合地价，拟定了征地补偿安置方案，具体如下：</w:t>
      </w:r>
      <w:bookmarkStart w:id="0" w:name="_GoBack"/>
      <w:bookmarkEnd w:id="0"/>
    </w:p>
    <w:p>
      <w:pPr>
        <w:keepNext w:val="0"/>
        <w:keepLines w:val="0"/>
        <w:pageBreakBefore w:val="0"/>
        <w:kinsoku/>
        <w:wordWrap/>
        <w:overflowPunct/>
        <w:topLinePunct w:val="0"/>
        <w:autoSpaceDE/>
        <w:autoSpaceDN/>
        <w:bidi w:val="0"/>
        <w:adjustRightInd/>
        <w:spacing w:line="560" w:lineRule="exact"/>
        <w:ind w:left="64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一、征收集体土地情况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征收集体土地总面积</w:t>
      </w:r>
      <w:r>
        <w:rPr>
          <w:rFonts w:hint="eastAsia" w:ascii="Times New Roman" w:hAnsi="Times New Roman" w:eastAsia="仿宋_GB2312"/>
          <w:color w:val="000000" w:themeColor="text1"/>
          <w:sz w:val="32"/>
          <w:szCs w:val="32"/>
          <w:lang w:val="en-US" w:eastAsia="zh-CN"/>
          <w14:textFill>
            <w14:solidFill>
              <w14:schemeClr w14:val="tx1"/>
            </w14:solidFill>
          </w14:textFill>
        </w:rPr>
        <w:t>8.1168</w:t>
      </w:r>
      <w:r>
        <w:rPr>
          <w:rFonts w:hint="eastAsia" w:eastAsia="仿宋_GB2312"/>
          <w:color w:val="000000" w:themeColor="text1"/>
          <w:sz w:val="32"/>
          <w:szCs w:val="32"/>
          <w14:textFill>
            <w14:solidFill>
              <w14:schemeClr w14:val="tx1"/>
            </w14:solidFill>
          </w14:textFill>
        </w:rPr>
        <w:t>公顷，</w:t>
      </w:r>
      <w:r>
        <w:rPr>
          <w:rFonts w:ascii="Times New Roman" w:hAnsi="Times New Roman" w:eastAsia="仿宋_GB2312"/>
          <w:color w:val="000000" w:themeColor="text1"/>
          <w:sz w:val="32"/>
          <w:szCs w:val="32"/>
          <w14:textFill>
            <w14:solidFill>
              <w14:schemeClr w14:val="tx1"/>
            </w14:solidFill>
          </w14:textFill>
        </w:rPr>
        <w:t>根据拟征收土地现状农用地</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7.7683</w:t>
      </w:r>
      <w:r>
        <w:rPr>
          <w:rFonts w:ascii="Times New Roman" w:hAnsi="Times New Roman" w:eastAsia="仿宋_GB2312"/>
          <w:color w:val="000000" w:themeColor="text1"/>
          <w:sz w:val="32"/>
          <w:szCs w:val="32"/>
          <w:shd w:val="clear" w:color="auto" w:fill="auto"/>
          <w14:textFill>
            <w14:solidFill>
              <w14:schemeClr w14:val="tx1"/>
            </w14:solidFill>
          </w14:textFill>
        </w:rPr>
        <w:t>公顷（耕地</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5.7557</w:t>
      </w:r>
      <w:r>
        <w:rPr>
          <w:rFonts w:ascii="Times New Roman" w:hAnsi="Times New Roman" w:eastAsia="仿宋_GB2312"/>
          <w:color w:val="000000" w:themeColor="text1"/>
          <w:sz w:val="32"/>
          <w:szCs w:val="32"/>
          <w:shd w:val="clear" w:color="auto" w:fill="auto"/>
          <w14:textFill>
            <w14:solidFill>
              <w14:schemeClr w14:val="tx1"/>
            </w14:solidFill>
          </w14:textFill>
        </w:rPr>
        <w:t>公顷</w:t>
      </w:r>
      <w:r>
        <w:rPr>
          <w:rFonts w:hint="eastAsia" w:ascii="Times New Roman" w:hAnsi="Times New Roman" w:eastAsia="仿宋_GB2312"/>
          <w:color w:val="000000" w:themeColor="text1"/>
          <w:sz w:val="32"/>
          <w:szCs w:val="32"/>
          <w:shd w:val="clear" w:color="auto" w:fill="auto"/>
          <w:lang w:eastAsia="zh-CN"/>
          <w14:textFill>
            <w14:solidFill>
              <w14:schemeClr w14:val="tx1"/>
            </w14:solidFill>
          </w14:textFill>
        </w:rPr>
        <w:t>、园地</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0.3526公顷、林地0.2118公顷、其他农用地1.4482公顷</w:t>
      </w:r>
      <w:r>
        <w:rPr>
          <w:rFonts w:hint="eastAsia" w:ascii="Times New Roman" w:hAnsi="Times New Roman" w:eastAsia="仿宋_GB2312"/>
          <w:color w:val="000000" w:themeColor="text1"/>
          <w:sz w:val="32"/>
          <w:szCs w:val="32"/>
          <w:shd w:val="clear" w:color="auto" w:fill="auto"/>
          <w14:textFill>
            <w14:solidFill>
              <w14:schemeClr w14:val="tx1"/>
            </w14:solidFill>
          </w14:textFill>
        </w:rPr>
        <w:t>）</w:t>
      </w:r>
      <w:r>
        <w:rPr>
          <w:rFonts w:hint="eastAsia" w:ascii="仿宋_GB2312" w:eastAsia="仿宋_GB2312"/>
          <w:color w:val="000000" w:themeColor="text1"/>
          <w:sz w:val="32"/>
          <w:szCs w:val="32"/>
          <w:shd w:val="clear" w:color="auto" w:fill="auto"/>
          <w14:textFill>
            <w14:solidFill>
              <w14:schemeClr w14:val="tx1"/>
            </w14:solidFill>
          </w14:textFill>
        </w:rPr>
        <w:t>，</w:t>
      </w:r>
      <w:r>
        <w:rPr>
          <w:rFonts w:hint="eastAsia" w:ascii="仿宋_GB2312" w:eastAsia="仿宋_GB2312"/>
          <w:color w:val="000000" w:themeColor="text1"/>
          <w:sz w:val="32"/>
          <w:szCs w:val="32"/>
          <w:shd w:val="clear" w:color="auto" w:fill="auto"/>
          <w:lang w:eastAsia="zh-CN"/>
          <w14:textFill>
            <w14:solidFill>
              <w14:schemeClr w14:val="tx1"/>
            </w14:solidFill>
          </w14:textFill>
        </w:rPr>
        <w:t>建设用地</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0.3183</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公顷，</w:t>
      </w:r>
      <w:r>
        <w:rPr>
          <w:rFonts w:hint="eastAsia" w:ascii="仿宋_GB2312" w:eastAsia="仿宋_GB2312"/>
          <w:color w:val="000000" w:themeColor="text1"/>
          <w:sz w:val="32"/>
          <w:szCs w:val="32"/>
          <w:shd w:val="clear" w:color="auto" w:fill="auto"/>
          <w:lang w:eastAsia="zh-CN"/>
          <w14:textFill>
            <w14:solidFill>
              <w14:schemeClr w14:val="tx1"/>
            </w14:solidFill>
          </w14:textFill>
        </w:rPr>
        <w:t>未利用地</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0.0302</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公顷</w:t>
      </w:r>
      <w:r>
        <w:rPr>
          <w:rFonts w:ascii="Times New Roman" w:hAnsi="Times New Roman" w:eastAsia="仿宋_GB2312"/>
          <w:color w:val="000000" w:themeColor="text1"/>
          <w:sz w:val="32"/>
          <w:szCs w:val="32"/>
          <w:shd w:val="clear" w:color="auto" w:fill="auto"/>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根据用地报批</w:t>
      </w:r>
      <w:r>
        <w:rPr>
          <w:rFonts w:hint="eastAsia" w:ascii="Times New Roman" w:hAnsi="Times New Roman" w:eastAsia="仿宋_GB2312"/>
          <w:color w:val="000000" w:themeColor="text1"/>
          <w:sz w:val="32"/>
          <w:szCs w:val="32"/>
          <w14:textFill>
            <w14:solidFill>
              <w14:schemeClr w14:val="tx1"/>
            </w14:solidFill>
          </w14:textFill>
        </w:rPr>
        <w:t>地类相关规则</w:t>
      </w:r>
      <w:r>
        <w:rPr>
          <w:rFonts w:ascii="Times New Roman" w:hAnsi="Times New Roman" w:eastAsia="仿宋_GB2312"/>
          <w:color w:val="000000" w:themeColor="text1"/>
          <w:sz w:val="32"/>
          <w:szCs w:val="32"/>
          <w14:textFill>
            <w14:solidFill>
              <w14:schemeClr w14:val="tx1"/>
            </w14:solidFill>
          </w14:textFill>
        </w:rPr>
        <w:t>，上述征收地块报批地类为</w:t>
      </w:r>
      <w:r>
        <w:rPr>
          <w:rFonts w:hint="eastAsia" w:ascii="仿宋_GB2312" w:eastAsia="仿宋_GB2312"/>
          <w:color w:val="000000" w:themeColor="text1"/>
          <w:sz w:val="32"/>
          <w:szCs w:val="32"/>
          <w:lang w:eastAsia="zh-CN"/>
          <w14:textFill>
            <w14:solidFill>
              <w14:schemeClr w14:val="tx1"/>
            </w14:solidFill>
          </w14:textFill>
        </w:rPr>
        <w:t>农用地</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7.7683</w:t>
      </w:r>
      <w:r>
        <w:rPr>
          <w:rFonts w:hint="eastAsia" w:ascii="仿宋_GB2312" w:eastAsia="仿宋_GB2312"/>
          <w:color w:val="000000" w:themeColor="text1"/>
          <w:sz w:val="32"/>
          <w:szCs w:val="32"/>
          <w:lang w:val="en-US" w:eastAsia="zh-CN"/>
          <w14:textFill>
            <w14:solidFill>
              <w14:schemeClr w14:val="tx1"/>
            </w14:solidFill>
          </w14:textFill>
        </w:rPr>
        <w:t>公顷</w:t>
      </w:r>
      <w:r>
        <w:rPr>
          <w:rFonts w:hint="eastAsia" w:ascii="仿宋_GB2312" w:eastAsia="仿宋_GB2312"/>
          <w:color w:val="000000" w:themeColor="text1"/>
          <w:sz w:val="32"/>
          <w:szCs w:val="32"/>
          <w14:textFill>
            <w14:solidFill>
              <w14:schemeClr w14:val="tx1"/>
            </w14:solidFill>
          </w14:textFill>
        </w:rPr>
        <w:t>（耕地</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5.7557</w:t>
      </w:r>
      <w:r>
        <w:rPr>
          <w:rFonts w:hint="eastAsia" w:ascii="仿宋_GB2312" w:eastAsia="仿宋_GB2312"/>
          <w:color w:val="000000" w:themeColor="text1"/>
          <w:sz w:val="32"/>
          <w:szCs w:val="32"/>
          <w14:textFill>
            <w14:solidFill>
              <w14:schemeClr w14:val="tx1"/>
            </w14:solidFill>
          </w14:textFill>
        </w:rPr>
        <w:t>公顷</w:t>
      </w:r>
      <w:r>
        <w:rPr>
          <w:rFonts w:hint="eastAsia" w:ascii="仿宋_GB2312" w:eastAsia="仿宋_GB2312"/>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仿宋_GB2312"/>
          <w:color w:val="000000" w:themeColor="text1"/>
          <w:sz w:val="32"/>
          <w:szCs w:val="32"/>
          <w:shd w:val="clear" w:color="auto" w:fill="auto"/>
          <w:lang w:eastAsia="zh-CN"/>
          <w14:textFill>
            <w14:solidFill>
              <w14:schemeClr w14:val="tx1"/>
            </w14:solidFill>
          </w14:textFill>
        </w:rPr>
        <w:t>园地</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0.3526公顷、林地0.2118公顷、其他农用地1.4482公顷</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shd w:val="clear" w:color="auto" w:fill="auto"/>
          <w:lang w:eastAsia="zh-CN"/>
          <w14:textFill>
            <w14:solidFill>
              <w14:schemeClr w14:val="tx1"/>
            </w14:solidFill>
          </w14:textFill>
        </w:rPr>
        <w:t>建设用地</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0.0093</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公顷，</w:t>
      </w:r>
      <w:r>
        <w:rPr>
          <w:rFonts w:hint="eastAsia" w:ascii="仿宋_GB2312" w:eastAsia="仿宋_GB2312"/>
          <w:color w:val="000000" w:themeColor="text1"/>
          <w:sz w:val="32"/>
          <w:szCs w:val="32"/>
          <w:shd w:val="clear" w:color="auto" w:fill="auto"/>
          <w:lang w:eastAsia="zh-CN"/>
          <w14:textFill>
            <w14:solidFill>
              <w14:schemeClr w14:val="tx1"/>
            </w14:solidFill>
          </w14:textFill>
        </w:rPr>
        <w:t>未利用地</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0.3392</w:t>
      </w:r>
      <w:r>
        <w:rPr>
          <w:rFonts w:hint="eastAsia" w:ascii="仿宋_GB2312" w:eastAsia="仿宋_GB2312"/>
          <w:color w:val="000000" w:themeColor="text1"/>
          <w:sz w:val="32"/>
          <w:szCs w:val="32"/>
          <w:shd w:val="clear" w:color="auto" w:fill="auto"/>
          <w:lang w:val="en-US" w:eastAsia="zh-CN"/>
          <w14:textFill>
            <w14:solidFill>
              <w14:schemeClr w14:val="tx1"/>
            </w14:solidFill>
          </w14:textFill>
        </w:rPr>
        <w:t>公顷</w:t>
      </w:r>
      <w:r>
        <w:rPr>
          <w:rFonts w:ascii="Times New Roman" w:hAnsi="Times New Roman"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具体结果以用地批准结果为准。</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color w:val="000000" w:themeColor="text1"/>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二、</w:t>
      </w:r>
      <w:r>
        <w:rPr>
          <w:rFonts w:hint="eastAsia" w:eastAsia="仿宋_GB2312"/>
          <w:color w:val="000000" w:themeColor="text1"/>
          <w:sz w:val="32"/>
          <w:szCs w:val="32"/>
          <w14:textFill>
            <w14:solidFill>
              <w14:schemeClr w14:val="tx1"/>
            </w14:solidFill>
          </w14:textFill>
        </w:rPr>
        <w:t>土地补偿费与安置补偿费</w:t>
      </w:r>
    </w:p>
    <w:p>
      <w:pPr>
        <w:keepNext w:val="0"/>
        <w:keepLines w:val="0"/>
        <w:pageBreakBefore w:val="0"/>
        <w:kinsoku/>
        <w:wordWrap/>
        <w:overflowPunct/>
        <w:topLinePunct w:val="0"/>
        <w:autoSpaceDE/>
        <w:autoSpaceDN/>
        <w:bidi w:val="0"/>
        <w:adjustRightInd/>
        <w:spacing w:before="156" w:beforeLines="50" w:line="560" w:lineRule="exact"/>
        <w:jc w:val="center"/>
        <w:textAlignment w:val="auto"/>
        <w:outlineLvl w:val="9"/>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土地补偿费与安置补偿费一览表</w:t>
      </w:r>
    </w:p>
    <w:p>
      <w:pPr>
        <w:keepNext w:val="0"/>
        <w:keepLines w:val="0"/>
        <w:pageBreakBefore w:val="0"/>
        <w:kinsoku/>
        <w:wordWrap/>
        <w:overflowPunct/>
        <w:topLinePunct w:val="0"/>
        <w:autoSpaceDE/>
        <w:autoSpaceDN/>
        <w:bidi w:val="0"/>
        <w:adjustRightInd/>
        <w:spacing w:line="560" w:lineRule="exact"/>
        <w:jc w:val="right"/>
        <w:textAlignment w:val="auto"/>
        <w:outlineLvl w:val="9"/>
        <w:rPr>
          <w:rFonts w:eastAsia="仿宋_GB2312"/>
          <w:color w:val="000000" w:themeColor="text1"/>
          <w:sz w:val="22"/>
          <w14:textFill>
            <w14:solidFill>
              <w14:schemeClr w14:val="tx1"/>
            </w14:solidFill>
          </w14:textFill>
        </w:rPr>
      </w:pPr>
      <w:r>
        <w:rPr>
          <w:rFonts w:hint="eastAsia" w:eastAsia="仿宋_GB2312"/>
          <w:color w:val="000000" w:themeColor="text1"/>
          <w:sz w:val="22"/>
          <w14:textFill>
            <w14:solidFill>
              <w14:schemeClr w14:val="tx1"/>
            </w14:solidFill>
          </w14:textFill>
        </w:rPr>
        <w:t>（单位：公顷、万元/公顷、万元）</w:t>
      </w:r>
    </w:p>
    <w:tbl>
      <w:tblPr>
        <w:tblStyle w:val="6"/>
        <w:tblpPr w:leftFromText="180" w:rightFromText="180" w:vertAnchor="text" w:horzAnchor="page" w:tblpX="2056" w:tblpY="365"/>
        <w:tblOverlap w:val="never"/>
        <w:tblW w:w="8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313"/>
        <w:gridCol w:w="937"/>
        <w:gridCol w:w="1021"/>
        <w:gridCol w:w="896"/>
        <w:gridCol w:w="1034"/>
        <w:gridCol w:w="92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 w:hRule="atLeast"/>
        </w:trPr>
        <w:tc>
          <w:tcPr>
            <w:tcW w:w="1391" w:type="dxa"/>
            <w:vMerge w:val="restar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单位</w:t>
            </w:r>
          </w:p>
        </w:tc>
        <w:tc>
          <w:tcPr>
            <w:tcW w:w="1313" w:type="dxa"/>
            <w:vMerge w:val="restar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土地类别</w:t>
            </w:r>
          </w:p>
        </w:tc>
        <w:tc>
          <w:tcPr>
            <w:tcW w:w="937" w:type="dxa"/>
            <w:vMerge w:val="restar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面积</w:t>
            </w:r>
          </w:p>
        </w:tc>
        <w:tc>
          <w:tcPr>
            <w:tcW w:w="1917" w:type="dxa"/>
            <w:gridSpan w:val="2"/>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土地补偿费</w:t>
            </w:r>
          </w:p>
        </w:tc>
        <w:tc>
          <w:tcPr>
            <w:tcW w:w="1957" w:type="dxa"/>
            <w:gridSpan w:val="2"/>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安置补偿费</w:t>
            </w:r>
          </w:p>
        </w:tc>
        <w:tc>
          <w:tcPr>
            <w:tcW w:w="1293" w:type="dxa"/>
            <w:vMerge w:val="restar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p>
        </w:tc>
        <w:tc>
          <w:tcPr>
            <w:tcW w:w="1313"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p>
        </w:tc>
        <w:tc>
          <w:tcPr>
            <w:tcW w:w="937"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p>
        </w:tc>
        <w:tc>
          <w:tcPr>
            <w:tcW w:w="102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补偿</w:t>
            </w:r>
          </w:p>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标准</w:t>
            </w:r>
          </w:p>
        </w:tc>
        <w:tc>
          <w:tcPr>
            <w:tcW w:w="896"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补偿</w:t>
            </w:r>
          </w:p>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金额</w:t>
            </w:r>
          </w:p>
        </w:tc>
        <w:tc>
          <w:tcPr>
            <w:tcW w:w="1034"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补偿</w:t>
            </w:r>
          </w:p>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标准</w:t>
            </w:r>
          </w:p>
        </w:tc>
        <w:tc>
          <w:tcPr>
            <w:tcW w:w="92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补偿</w:t>
            </w:r>
          </w:p>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金额</w:t>
            </w:r>
          </w:p>
        </w:tc>
        <w:tc>
          <w:tcPr>
            <w:tcW w:w="1293"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1391" w:type="dxa"/>
            <w:vMerge w:val="restar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eastAsia="仿宋_GB2312"/>
                <w:color w:val="000000" w:themeColor="text1"/>
                <w:sz w:val="1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大岗镇新联二股份合作经济联合社</w:t>
            </w:r>
          </w:p>
        </w:tc>
        <w:tc>
          <w:tcPr>
            <w:tcW w:w="131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农用地</w:t>
            </w:r>
          </w:p>
        </w:tc>
        <w:tc>
          <w:tcPr>
            <w:tcW w:w="937"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7.7683</w:t>
            </w:r>
          </w:p>
        </w:tc>
        <w:tc>
          <w:tcPr>
            <w:tcW w:w="102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197.25</w:t>
            </w:r>
          </w:p>
        </w:tc>
        <w:tc>
          <w:tcPr>
            <w:tcW w:w="896"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1532.30</w:t>
            </w:r>
          </w:p>
        </w:tc>
        <w:tc>
          <w:tcPr>
            <w:tcW w:w="1034"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197.25</w:t>
            </w:r>
          </w:p>
        </w:tc>
        <w:tc>
          <w:tcPr>
            <w:tcW w:w="92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1532.30</w:t>
            </w:r>
          </w:p>
        </w:tc>
        <w:tc>
          <w:tcPr>
            <w:tcW w:w="129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3064.6000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color w:val="000000" w:themeColor="text1"/>
                <w:sz w:val="28"/>
                <w:szCs w:val="28"/>
                <w14:textFill>
                  <w14:solidFill>
                    <w14:schemeClr w14:val="tx1"/>
                  </w14:solidFill>
                </w14:textFill>
              </w:rPr>
            </w:pPr>
          </w:p>
        </w:tc>
        <w:tc>
          <w:tcPr>
            <w:tcW w:w="131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eastAsia="仿宋_GB2312"/>
                <w:color w:val="000000" w:themeColor="text1"/>
                <w:sz w:val="24"/>
                <w:lang w:eastAsia="zh-CN"/>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建设用地</w:t>
            </w:r>
          </w:p>
        </w:tc>
        <w:tc>
          <w:tcPr>
            <w:tcW w:w="937"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0.0093</w:t>
            </w:r>
          </w:p>
        </w:tc>
        <w:tc>
          <w:tcPr>
            <w:tcW w:w="102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ascii="Times New Roman" w:hAnsi="Times New Roman" w:eastAsia="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394.5</w:t>
            </w:r>
          </w:p>
        </w:tc>
        <w:tc>
          <w:tcPr>
            <w:tcW w:w="896"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3.6689</w:t>
            </w:r>
          </w:p>
        </w:tc>
        <w:tc>
          <w:tcPr>
            <w:tcW w:w="1034"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0</w:t>
            </w:r>
          </w:p>
        </w:tc>
        <w:tc>
          <w:tcPr>
            <w:tcW w:w="92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0</w:t>
            </w:r>
          </w:p>
        </w:tc>
        <w:tc>
          <w:tcPr>
            <w:tcW w:w="129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3.6689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color w:val="000000" w:themeColor="text1"/>
                <w:sz w:val="28"/>
                <w:szCs w:val="28"/>
                <w14:textFill>
                  <w14:solidFill>
                    <w14:schemeClr w14:val="tx1"/>
                  </w14:solidFill>
                </w14:textFill>
              </w:rPr>
            </w:pPr>
          </w:p>
        </w:tc>
        <w:tc>
          <w:tcPr>
            <w:tcW w:w="131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未利用地</w:t>
            </w:r>
          </w:p>
        </w:tc>
        <w:tc>
          <w:tcPr>
            <w:tcW w:w="937"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0.3392</w:t>
            </w:r>
          </w:p>
        </w:tc>
        <w:tc>
          <w:tcPr>
            <w:tcW w:w="102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394.5</w:t>
            </w:r>
          </w:p>
        </w:tc>
        <w:tc>
          <w:tcPr>
            <w:tcW w:w="896"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133.8144</w:t>
            </w:r>
          </w:p>
        </w:tc>
        <w:tc>
          <w:tcPr>
            <w:tcW w:w="1034"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0</w:t>
            </w:r>
          </w:p>
        </w:tc>
        <w:tc>
          <w:tcPr>
            <w:tcW w:w="92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0</w:t>
            </w:r>
          </w:p>
        </w:tc>
        <w:tc>
          <w:tcPr>
            <w:tcW w:w="129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133.8144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7515" w:type="dxa"/>
            <w:gridSpan w:val="7"/>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土地补偿费和安置补偿费合计</w:t>
            </w:r>
          </w:p>
        </w:tc>
        <w:tc>
          <w:tcPr>
            <w:tcW w:w="129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3202.0833</w:t>
            </w:r>
          </w:p>
        </w:tc>
      </w:tr>
    </w:tbl>
    <w:p>
      <w:pPr>
        <w:keepNext w:val="0"/>
        <w:keepLines w:val="0"/>
        <w:pageBreakBefore w:val="0"/>
        <w:kinsoku/>
        <w:wordWrap/>
        <w:overflowPunct/>
        <w:topLinePunct w:val="0"/>
        <w:autoSpaceDE/>
        <w:autoSpaceDN/>
        <w:bidi w:val="0"/>
        <w:adjustRightInd/>
        <w:spacing w:before="156" w:beforeLines="50" w:line="560" w:lineRule="exact"/>
        <w:ind w:firstLine="640" w:firstLineChars="20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涉及到房屋拆迁的，按照广州市南沙区人民政府有关规定的标准进行补偿安置。</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三、青苗补偿费及地上附着物补偿费。</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征地范围内的青苗补偿费及地上附着物补偿费等其他补偿费用按政府有关规定进行补偿。</w:t>
      </w:r>
    </w:p>
    <w:p>
      <w:pPr>
        <w:keepNext w:val="0"/>
        <w:keepLines w:val="0"/>
        <w:pageBreakBefore w:val="0"/>
        <w:kinsoku/>
        <w:wordWrap/>
        <w:overflowPunct/>
        <w:topLinePunct w:val="0"/>
        <w:autoSpaceDE/>
        <w:autoSpaceDN/>
        <w:bidi w:val="0"/>
        <w:adjustRightInd/>
        <w:spacing w:line="560" w:lineRule="exact"/>
        <w:ind w:left="64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四、安置措施情况</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为妥善安置被征地农民，切实解决被征地农民的生产生活出路，在保证货币安置落实的同时，按实际征地面积10%计算留用地给被征地村集体，留用地兑现方式为实地留地。</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eastAsia="仿宋_GB2312"/>
          <w:strike/>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eastAsia="仿宋_GB2312"/>
          <w:strike/>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firstLine="640"/>
        <w:jc w:val="right"/>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eastAsia="仿宋_GB2312"/>
          <w:color w:val="000000" w:themeColor="text1"/>
          <w:sz w:val="32"/>
          <w:szCs w:val="32"/>
          <w14:textFill>
            <w14:solidFill>
              <w14:schemeClr w14:val="tx1"/>
            </w14:solidFill>
          </w14:textFill>
        </w:rPr>
        <w:t>广州市规划和自然资源局南沙区分局</w:t>
      </w:r>
    </w:p>
    <w:p>
      <w:pPr>
        <w:keepNext w:val="0"/>
        <w:keepLines w:val="0"/>
        <w:pageBreakBefore w:val="0"/>
        <w:kinsoku/>
        <w:wordWrap/>
        <w:overflowPunct/>
        <w:topLinePunct w:val="0"/>
        <w:autoSpaceDE/>
        <w:autoSpaceDN/>
        <w:bidi w:val="0"/>
        <w:adjustRightInd/>
        <w:spacing w:line="560" w:lineRule="exact"/>
        <w:ind w:firstLine="640"/>
        <w:jc w:val="right"/>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2022年</w:t>
      </w:r>
      <w:r>
        <w:rPr>
          <w:rFonts w:hint="eastAsia" w:eastAsia="仿宋_GB2312"/>
          <w:color w:val="000000" w:themeColor="text1"/>
          <w:sz w:val="32"/>
          <w:szCs w:val="32"/>
          <w:lang w:val="en-US" w:eastAsia="zh-CN"/>
          <w14:textFill>
            <w14:solidFill>
              <w14:schemeClr w14:val="tx1"/>
            </w14:solidFill>
          </w14:textFill>
        </w:rPr>
        <w:t>8</w:t>
      </w:r>
      <w:r>
        <w:rPr>
          <w:rFonts w:hint="eastAsia"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60" w:lineRule="exact"/>
        <w:textAlignment w:val="auto"/>
        <w:outlineLvl w:val="9"/>
        <w:rPr>
          <w:color w:val="FF0000"/>
        </w:rPr>
      </w:pPr>
    </w:p>
    <w:sectPr>
      <w:footerReference r:id="rId3" w:type="default"/>
      <w:pgSz w:w="11906" w:h="16838"/>
      <w:pgMar w:top="1440" w:right="1800"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9sZGvRAAAAAgEAAA8AAAAAAAAA&#10;AQAgAAAAIgAAAGRycy9kb3ducmV2LnhtbFBLAQIUABQAAAAIAIdO4kCxoYBBGAIAABIEAAAOAAAA&#10;AAAAAAEAIAAAACABAABkcnMvZTJvRG9jLnhtbFBLBQYAAAAABgAGAFkBAACq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70"/>
    <w:rsid w:val="0031757C"/>
    <w:rsid w:val="00592C7B"/>
    <w:rsid w:val="00657B3C"/>
    <w:rsid w:val="00E652F0"/>
    <w:rsid w:val="00E668AD"/>
    <w:rsid w:val="00F43970"/>
    <w:rsid w:val="00FC67C0"/>
    <w:rsid w:val="108E612F"/>
    <w:rsid w:val="124E06C1"/>
    <w:rsid w:val="1902197E"/>
    <w:rsid w:val="19CD2A46"/>
    <w:rsid w:val="1F4250E3"/>
    <w:rsid w:val="250F3BC8"/>
    <w:rsid w:val="2B293483"/>
    <w:rsid w:val="2B8904CE"/>
    <w:rsid w:val="30396830"/>
    <w:rsid w:val="39D21DBC"/>
    <w:rsid w:val="41502CF2"/>
    <w:rsid w:val="513D3A60"/>
    <w:rsid w:val="5B377A56"/>
    <w:rsid w:val="66BE28F8"/>
    <w:rsid w:val="67840206"/>
    <w:rsid w:val="7725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0"/>
    <w:rPr>
      <w:rFonts w:ascii="Calibri" w:hAnsi="Calibri" w:eastAsia="宋体" w:cs="Times New Roman"/>
      <w:sz w:val="18"/>
      <w:szCs w:val="18"/>
    </w:rPr>
  </w:style>
  <w:style w:type="character" w:customStyle="1" w:styleId="8">
    <w:name w:val="标题 1 Char"/>
    <w:basedOn w:val="5"/>
    <w:link w:val="2"/>
    <w:qFormat/>
    <w:uiPriority w:val="9"/>
    <w:rPr>
      <w:rFonts w:ascii="Calibri" w:hAnsi="Calibri" w:eastAsia="宋体" w:cs="Times New Roman"/>
      <w:b/>
      <w:bCs/>
      <w:kern w:val="44"/>
      <w:sz w:val="44"/>
      <w:szCs w:val="44"/>
    </w:rPr>
  </w:style>
  <w:style w:type="character" w:customStyle="1" w:styleId="9">
    <w:name w:val="页眉 Char"/>
    <w:basedOn w:val="5"/>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Words>
  <Characters>556</Characters>
  <Lines>4</Lines>
  <Paragraphs>1</Paragraphs>
  <TotalTime>6</TotalTime>
  <ScaleCrop>false</ScaleCrop>
  <LinksUpToDate>false</LinksUpToDate>
  <CharactersWithSpaces>652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2022-06-20T11:09:00Z</dcterms:created>
  <dc:creator>NTKO</dc:creator>
  <cp:lastModifiedBy>李胜鸾</cp:lastModifiedBy>
  <dcterms:modified xsi:type="dcterms:W3CDTF">2022-08-10T08:48:22Z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