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22</w:t>
      </w:r>
      <w:r>
        <w:rPr>
          <w:rFonts w:eastAsia="仿宋_GB2312"/>
          <w:sz w:val="32"/>
          <w:szCs w:val="32"/>
        </w:rPr>
        <w:t>〕</w:t>
      </w:r>
      <w:r>
        <w:rPr>
          <w:rFonts w:hint="eastAsia" w:eastAsia="仿宋_GB2312"/>
          <w:sz w:val="32"/>
          <w:szCs w:val="32"/>
          <w:lang w:val="en-US" w:eastAsia="zh-CN"/>
        </w:rPr>
        <w:t>25</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w:t>
      </w:r>
      <w:r>
        <w:rPr>
          <w:rFonts w:hint="eastAsia" w:ascii="方正小标宋简体" w:hAnsi="方正小标宋简体" w:eastAsia="方正小标宋简体" w:cs="方正小标宋简体"/>
          <w:bCs/>
          <w:sz w:val="44"/>
          <w:szCs w:val="44"/>
          <w:lang w:eastAsia="zh-CN"/>
        </w:rPr>
        <w:t>南沙</w:t>
      </w:r>
      <w:r>
        <w:rPr>
          <w:rFonts w:hint="eastAsia" w:ascii="方正小标宋简体" w:hAnsi="方正小标宋简体" w:eastAsia="方正小标宋简体" w:cs="方正小标宋简体"/>
          <w:bCs/>
          <w:sz w:val="44"/>
          <w:szCs w:val="44"/>
        </w:rPr>
        <w:t>区</w:t>
      </w:r>
      <w:r>
        <w:rPr>
          <w:rFonts w:hint="eastAsia" w:ascii="方正小标宋简体" w:hAnsi="方正小标宋简体" w:eastAsia="方正小标宋简体" w:cs="方正小标宋简体"/>
          <w:bCs/>
          <w:sz w:val="44"/>
          <w:szCs w:val="44"/>
          <w:lang w:val="en-US" w:eastAsia="zh-CN"/>
        </w:rPr>
        <w:t>2020</w:t>
      </w:r>
      <w:r>
        <w:rPr>
          <w:rFonts w:hint="eastAsia" w:ascii="方正小标宋简体" w:hAnsi="方正小标宋简体" w:eastAsia="方正小标宋简体" w:cs="方正小标宋简体"/>
          <w:bCs/>
          <w:sz w:val="44"/>
          <w:szCs w:val="44"/>
        </w:rPr>
        <w:t>年度</w:t>
      </w:r>
      <w:r>
        <w:rPr>
          <w:rFonts w:hint="eastAsia" w:ascii="方正小标宋简体" w:hAnsi="方正小标宋简体" w:eastAsia="方正小标宋简体" w:cs="方正小标宋简体"/>
          <w:bCs/>
          <w:sz w:val="44"/>
          <w:szCs w:val="44"/>
          <w:lang w:eastAsia="zh-CN"/>
        </w:rPr>
        <w:t>第</w:t>
      </w:r>
      <w:r>
        <w:rPr>
          <w:rFonts w:hint="eastAsia" w:ascii="方正小标宋简体" w:hAnsi="方正小标宋简体" w:eastAsia="方正小标宋简体" w:cs="方正小标宋简体"/>
          <w:bCs/>
          <w:sz w:val="44"/>
          <w:szCs w:val="44"/>
          <w:lang w:val="en-US" w:eastAsia="zh-CN"/>
        </w:rPr>
        <w:t>二十六</w:t>
      </w:r>
      <w:r>
        <w:rPr>
          <w:rFonts w:hint="eastAsia" w:ascii="方正小标宋简体" w:hAnsi="方正小标宋简体" w:eastAsia="方正小标宋简体" w:cs="方正小标宋简体"/>
          <w:bCs/>
          <w:sz w:val="44"/>
          <w:szCs w:val="44"/>
        </w:rPr>
        <w:t>批次城镇建设用地（</w:t>
      </w:r>
      <w:r>
        <w:rPr>
          <w:rFonts w:hint="eastAsia" w:ascii="方正小标宋简体" w:hAnsi="方正小标宋简体" w:eastAsia="方正小标宋简体" w:cs="方正小标宋简体"/>
          <w:bCs/>
          <w:sz w:val="44"/>
          <w:szCs w:val="44"/>
          <w:lang w:val="en-US" w:eastAsia="zh-CN"/>
        </w:rPr>
        <w:t>增减挂钩</w:t>
      </w:r>
      <w:r>
        <w:rPr>
          <w:rFonts w:hint="eastAsia" w:ascii="方正小标宋简体" w:hAnsi="方正小标宋简体" w:eastAsia="方正小标宋简体" w:cs="方正小标宋简体"/>
          <w:bCs/>
          <w:sz w:val="44"/>
          <w:szCs w:val="44"/>
        </w:rPr>
        <w:t>）的批复</w:t>
      </w:r>
    </w:p>
    <w:p>
      <w:pPr>
        <w:widowControl/>
        <w:spacing w:line="600" w:lineRule="exact"/>
        <w:jc w:val="both"/>
        <w:textAlignment w:val="baseline"/>
        <w:rPr>
          <w:rFonts w:hint="eastAsia"/>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广州市规划和自然资源局</w:t>
      </w:r>
      <w:r>
        <w:rPr>
          <w:rFonts w:hint="eastAsia" w:eastAsia="仿宋_GB2312" w:cs="Times New Roman"/>
          <w:sz w:val="32"/>
          <w:szCs w:val="32"/>
          <w:lang w:eastAsia="zh-CN"/>
        </w:rPr>
        <w:t>关于审批</w:t>
      </w:r>
      <w:r>
        <w:rPr>
          <w:rFonts w:hint="eastAsia" w:ascii="Times New Roman" w:hAnsi="Times New Roman" w:eastAsia="仿宋_GB2312" w:cs="Times New Roman"/>
          <w:sz w:val="32"/>
          <w:szCs w:val="32"/>
        </w:rPr>
        <w:t>广州市南沙区2020年度第</w:t>
      </w:r>
      <w:r>
        <w:rPr>
          <w:rFonts w:hint="eastAsia" w:eastAsia="仿宋_GB2312" w:cs="Times New Roman"/>
          <w:sz w:val="32"/>
          <w:szCs w:val="32"/>
          <w:lang w:val="en-US" w:eastAsia="zh-CN"/>
        </w:rPr>
        <w:t>二十六</w:t>
      </w:r>
      <w:r>
        <w:rPr>
          <w:rFonts w:hint="eastAsia" w:ascii="Times New Roman" w:hAnsi="Times New Roman" w:eastAsia="仿宋_GB2312" w:cs="Times New Roman"/>
          <w:sz w:val="32"/>
          <w:szCs w:val="32"/>
        </w:rPr>
        <w:t>批次城镇建设用地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增减挂钩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的请示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穗规划资源</w:t>
      </w:r>
      <w:r>
        <w:rPr>
          <w:rFonts w:hint="eastAsia" w:eastAsia="仿宋_GB2312" w:cs="Times New Roman"/>
          <w:sz w:val="32"/>
          <w:szCs w:val="32"/>
          <w:lang w:eastAsia="zh-CN"/>
        </w:rPr>
        <w:t>（用地）南报</w:t>
      </w:r>
      <w:r>
        <w:rPr>
          <w:rFonts w:ascii="Times New Roman" w:hAnsi="Times New Roman" w:eastAsia="仿宋_GB2312" w:cs="Times New Roman"/>
          <w:sz w:val="32"/>
          <w:szCs w:val="32"/>
        </w:rPr>
        <w:t>〔202</w:t>
      </w:r>
      <w:r>
        <w:rPr>
          <w:rFonts w:hint="eastAsia"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eastAsia="仿宋_GB2312" w:cs="Times New Roman"/>
          <w:sz w:val="32"/>
          <w:szCs w:val="32"/>
          <w:lang w:val="en-US" w:eastAsia="zh-CN"/>
        </w:rPr>
        <w:t>9</w:t>
      </w:r>
      <w:r>
        <w:rPr>
          <w:rFonts w:ascii="Times New Roman" w:hAnsi="Times New Roman" w:eastAsia="仿宋_GB2312" w:cs="Times New Roman"/>
          <w:sz w:val="32"/>
          <w:szCs w:val="32"/>
        </w:rPr>
        <w:t>号）及</w:t>
      </w:r>
      <w:r>
        <w:rPr>
          <w:rFonts w:eastAsia="仿宋_GB2312"/>
          <w:sz w:val="32"/>
          <w:szCs w:val="32"/>
        </w:rPr>
        <w:t>相关材料已通过审核。</w:t>
      </w:r>
      <w:r>
        <w:rPr>
          <w:rFonts w:ascii="Times New Roman" w:hAnsi="Times New Roman" w:eastAsia="仿宋_GB2312" w:cs="Times New Roman"/>
          <w:sz w:val="32"/>
          <w:szCs w:val="32"/>
        </w:rPr>
        <w:t>根据《中</w:t>
      </w:r>
      <w:r>
        <w:rPr>
          <w:rFonts w:eastAsia="仿宋_GB2312"/>
          <w:sz w:val="32"/>
          <w:szCs w:val="32"/>
        </w:rPr>
        <w:t>华人民共和国土地管理法》第</w:t>
      </w:r>
      <w:r>
        <w:rPr>
          <w:rFonts w:hint="eastAsia" w:eastAsia="仿宋_GB2312"/>
          <w:sz w:val="32"/>
          <w:szCs w:val="32"/>
          <w:lang w:val="en-US" w:eastAsia="zh-CN"/>
        </w:rPr>
        <w:t>四十四</w:t>
      </w:r>
      <w:r>
        <w:rPr>
          <w:rFonts w:eastAsia="仿宋_GB2312"/>
          <w:sz w:val="32"/>
          <w:szCs w:val="32"/>
        </w:rPr>
        <w:t>条有关规定，批复如下：</w:t>
      </w:r>
    </w:p>
    <w:p>
      <w:pPr>
        <w:widowControl/>
        <w:numPr>
          <w:ilvl w:val="0"/>
          <w:numId w:val="1"/>
        </w:numPr>
        <w:spacing w:line="600" w:lineRule="exact"/>
        <w:ind w:firstLine="645"/>
        <w:textAlignment w:val="baseline"/>
        <w:rPr>
          <w:rFonts w:hint="eastAsia" w:eastAsia="仿宋_GB2312"/>
          <w:sz w:val="32"/>
          <w:szCs w:val="32"/>
        </w:rPr>
      </w:pPr>
      <w:r>
        <w:rPr>
          <w:rFonts w:eastAsia="仿宋_GB2312"/>
          <w:sz w:val="32"/>
          <w:szCs w:val="32"/>
        </w:rPr>
        <w:t>该批次用地属使用</w:t>
      </w:r>
      <w:r>
        <w:rPr>
          <w:rFonts w:eastAsia="仿宋_GB2312"/>
          <w:sz w:val="32"/>
          <w:szCs w:val="32"/>
          <w:lang w:val="zh-CN"/>
        </w:rPr>
        <w:t>跨省调剂城乡建设用地增减挂钩节余指标的用地，建新方案已获省自然资源厅批复（</w:t>
      </w:r>
      <w:r>
        <w:rPr>
          <w:rFonts w:hint="eastAsia" w:ascii="仿宋_GB2312" w:hAnsi="仿宋_GB2312" w:eastAsia="仿宋_GB2312" w:cs="仿宋_GB2312"/>
          <w:color w:val="auto"/>
          <w:sz w:val="32"/>
          <w:szCs w:val="32"/>
        </w:rPr>
        <w:t>粤自然</w:t>
      </w:r>
      <w:r>
        <w:rPr>
          <w:rFonts w:hint="eastAsia" w:ascii="仿宋_GB2312" w:hAnsi="仿宋_GB2312" w:eastAsia="仿宋_GB2312" w:cs="仿宋_GB2312"/>
          <w:color w:val="auto"/>
          <w:sz w:val="32"/>
          <w:szCs w:val="32"/>
          <w:lang w:val="en-US" w:eastAsia="zh-CN"/>
        </w:rPr>
        <w:t>资函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417</w:t>
      </w:r>
      <w:r>
        <w:rPr>
          <w:rFonts w:hint="eastAsia" w:ascii="仿宋_GB2312" w:hAnsi="仿宋_GB2312" w:eastAsia="仿宋_GB2312" w:cs="仿宋_GB2312"/>
          <w:color w:val="auto"/>
          <w:sz w:val="32"/>
          <w:szCs w:val="32"/>
        </w:rPr>
        <w:t>号</w:t>
      </w:r>
      <w:r>
        <w:rPr>
          <w:rFonts w:eastAsia="仿宋_GB2312"/>
          <w:sz w:val="32"/>
          <w:szCs w:val="32"/>
          <w:lang w:val="zh-CN"/>
        </w:rPr>
        <w:t>），</w:t>
      </w:r>
      <w:r>
        <w:rPr>
          <w:rFonts w:hint="eastAsia" w:eastAsia="仿宋_GB2312"/>
          <w:sz w:val="32"/>
          <w:szCs w:val="32"/>
          <w:lang w:val="zh-CN"/>
        </w:rPr>
        <w:t>不需再单独办理农用地转用审批手续。</w:t>
      </w:r>
    </w:p>
    <w:p>
      <w:pPr>
        <w:widowControl/>
        <w:numPr>
          <w:ilvl w:val="0"/>
          <w:numId w:val="0"/>
        </w:numPr>
        <w:spacing w:line="600" w:lineRule="exact"/>
        <w:ind w:firstLine="632" w:firstLineChars="200"/>
        <w:textAlignment w:val="baseline"/>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color w:val="auto"/>
          <w:sz w:val="32"/>
          <w:szCs w:val="32"/>
          <w:lang w:eastAsia="zh-CN"/>
        </w:rPr>
        <w:t>二、</w:t>
      </w:r>
      <w:r>
        <w:rPr>
          <w:rFonts w:ascii="Times New Roman" w:hAnsi="Times New Roman" w:eastAsia="仿宋_GB2312" w:cs="Times New Roman"/>
          <w:color w:val="auto"/>
          <w:sz w:val="32"/>
          <w:szCs w:val="32"/>
        </w:rPr>
        <w:t>同意</w:t>
      </w:r>
      <w:r>
        <w:rPr>
          <w:rFonts w:hint="eastAsia" w:ascii="Times New Roman" w:hAnsi="Times New Roman" w:eastAsia="仿宋_GB2312" w:cs="Times New Roman"/>
          <w:color w:val="auto"/>
          <w:sz w:val="32"/>
          <w:szCs w:val="32"/>
          <w:lang w:eastAsia="zh-CN"/>
        </w:rPr>
        <w:t>你市</w:t>
      </w:r>
      <w:r>
        <w:rPr>
          <w:rFonts w:ascii="Times New Roman" w:hAnsi="Times New Roman" w:eastAsia="仿宋_GB2312" w:cs="Times New Roman"/>
          <w:color w:val="auto"/>
          <w:sz w:val="32"/>
          <w:szCs w:val="32"/>
        </w:rPr>
        <w:t>将</w:t>
      </w:r>
      <w:r>
        <w:rPr>
          <w:rFonts w:hint="eastAsia" w:eastAsia="仿宋_GB2312"/>
          <w:sz w:val="32"/>
          <w:szCs w:val="32"/>
        </w:rPr>
        <w:t>万顷沙镇的政府控制性国有</w:t>
      </w:r>
      <w:r>
        <w:rPr>
          <w:rFonts w:ascii="Times New Roman" w:hAnsi="Times New Roman" w:eastAsia="仿宋_GB2312" w:cs="Times New Roman"/>
          <w:color w:val="auto"/>
          <w:sz w:val="32"/>
          <w:szCs w:val="32"/>
        </w:rPr>
        <w:t>农用地</w:t>
      </w:r>
      <w:r>
        <w:rPr>
          <w:rFonts w:hint="eastAsia" w:eastAsia="仿宋_GB2312"/>
          <w:color w:val="000000" w:themeColor="text1"/>
          <w:sz w:val="32"/>
          <w:szCs w:val="32"/>
          <w14:textFill>
            <w14:solidFill>
              <w14:schemeClr w14:val="tx1"/>
            </w14:solidFill>
          </w14:textFill>
        </w:rPr>
        <w:t>10.5898</w:t>
      </w:r>
      <w:r>
        <w:rPr>
          <w:rFonts w:ascii="Times New Roman" w:hAnsi="Times New Roman" w:eastAsia="仿宋_GB2312" w:cs="Times New Roman"/>
          <w:color w:val="auto"/>
          <w:sz w:val="32"/>
          <w:szCs w:val="32"/>
        </w:rPr>
        <w:t>公顷（耕地</w:t>
      </w:r>
      <w:r>
        <w:rPr>
          <w:rFonts w:hint="eastAsia" w:eastAsia="仿宋_GB2312"/>
          <w:color w:val="000000" w:themeColor="text1"/>
          <w:sz w:val="32"/>
          <w:szCs w:val="32"/>
          <w14:textFill>
            <w14:solidFill>
              <w14:schemeClr w14:val="tx1"/>
            </w14:solidFill>
          </w14:textFill>
        </w:rPr>
        <w:t>2.1762</w:t>
      </w:r>
      <w:r>
        <w:rPr>
          <w:rFonts w:ascii="Times New Roman" w:hAnsi="Times New Roman" w:eastAsia="仿宋_GB2312" w:cs="Times New Roman"/>
          <w:color w:val="auto"/>
          <w:sz w:val="32"/>
          <w:szCs w:val="32"/>
        </w:rPr>
        <w:t>公顷、园地</w:t>
      </w:r>
      <w:r>
        <w:rPr>
          <w:rFonts w:hint="eastAsia" w:eastAsia="仿宋_GB2312"/>
          <w:color w:val="000000" w:themeColor="text1"/>
          <w:sz w:val="32"/>
          <w:szCs w:val="32"/>
          <w14:textFill>
            <w14:solidFill>
              <w14:schemeClr w14:val="tx1"/>
            </w14:solidFill>
          </w14:textFill>
        </w:rPr>
        <w:t>3.4706</w:t>
      </w:r>
      <w:r>
        <w:rPr>
          <w:rFonts w:ascii="Times New Roman" w:hAnsi="Times New Roman" w:eastAsia="仿宋_GB2312" w:cs="Times New Roman"/>
          <w:color w:val="auto"/>
          <w:sz w:val="32"/>
          <w:szCs w:val="32"/>
        </w:rPr>
        <w:t>公顷、林地</w:t>
      </w:r>
      <w:r>
        <w:rPr>
          <w:rFonts w:hint="eastAsia" w:eastAsia="仿宋_GB2312"/>
          <w:color w:val="000000" w:themeColor="text1"/>
          <w:sz w:val="32"/>
          <w:szCs w:val="32"/>
          <w14:textFill>
            <w14:solidFill>
              <w14:schemeClr w14:val="tx1"/>
            </w14:solidFill>
          </w14:textFill>
        </w:rPr>
        <w:t>2.2970</w:t>
      </w:r>
      <w:r>
        <w:rPr>
          <w:rFonts w:ascii="Times New Roman" w:hAnsi="Times New Roman" w:eastAsia="仿宋_GB2312" w:cs="Times New Roman"/>
          <w:color w:val="auto"/>
          <w:sz w:val="32"/>
          <w:szCs w:val="32"/>
        </w:rPr>
        <w:t>公顷、其他农用地</w:t>
      </w:r>
      <w:r>
        <w:rPr>
          <w:rFonts w:hint="eastAsia" w:eastAsia="仿宋_GB2312"/>
          <w:color w:val="000000" w:themeColor="text1"/>
          <w:sz w:val="32"/>
          <w:szCs w:val="32"/>
          <w14:textFill>
            <w14:solidFill>
              <w14:schemeClr w14:val="tx1"/>
            </w14:solidFill>
          </w14:textFill>
        </w:rPr>
        <w:t>2.6460</w:t>
      </w:r>
      <w:r>
        <w:rPr>
          <w:rFonts w:ascii="Times New Roman" w:hAnsi="Times New Roman" w:eastAsia="仿宋_GB2312" w:cs="Times New Roman"/>
          <w:color w:val="auto"/>
          <w:sz w:val="32"/>
          <w:szCs w:val="32"/>
        </w:rPr>
        <w:t>公顷）转为建设用地，同时使用上述有关单位建设用地</w:t>
      </w:r>
      <w:r>
        <w:rPr>
          <w:rFonts w:hint="eastAsia" w:eastAsia="仿宋_GB2312"/>
          <w:color w:val="000000" w:themeColor="text1"/>
          <w:sz w:val="32"/>
          <w:szCs w:val="32"/>
          <w14:textFill>
            <w14:solidFill>
              <w14:schemeClr w14:val="tx1"/>
            </w14:solidFill>
          </w14:textFill>
        </w:rPr>
        <w:t>0.4328</w:t>
      </w:r>
      <w:r>
        <w:rPr>
          <w:rFonts w:ascii="Times New Roman" w:hAnsi="Times New Roman" w:eastAsia="仿宋_GB2312" w:cs="Times New Roman"/>
          <w:color w:val="auto"/>
          <w:sz w:val="32"/>
          <w:szCs w:val="32"/>
        </w:rPr>
        <w:t>公顷、未利</w:t>
      </w:r>
      <w:r>
        <w:rPr>
          <w:rFonts w:ascii="Times New Roman" w:hAnsi="Times New Roman" w:eastAsia="仿宋_GB2312" w:cs="Times New Roman"/>
          <w:sz w:val="32"/>
          <w:szCs w:val="32"/>
          <w:lang w:val="zh-CN"/>
        </w:rPr>
        <w:t>用地</w:t>
      </w:r>
      <w:r>
        <w:rPr>
          <w:rFonts w:hint="eastAsia" w:ascii="Times New Roman" w:hAnsi="Times New Roman" w:eastAsia="仿宋_GB2312" w:cs="Times New Roman"/>
          <w:sz w:val="32"/>
          <w:szCs w:val="32"/>
          <w:lang w:val="zh-CN"/>
        </w:rPr>
        <w:t>0.3206</w:t>
      </w:r>
      <w:r>
        <w:rPr>
          <w:rFonts w:ascii="Times New Roman" w:hAnsi="Times New Roman" w:eastAsia="仿宋_GB2312" w:cs="Times New Roman"/>
          <w:sz w:val="32"/>
          <w:szCs w:val="32"/>
          <w:lang w:val="zh-CN"/>
        </w:rPr>
        <w:t>公顷。上述土地（合计</w:t>
      </w:r>
      <w:r>
        <w:rPr>
          <w:rFonts w:hint="eastAsia" w:ascii="Times New Roman" w:hAnsi="Times New Roman" w:eastAsia="仿宋_GB2312" w:cs="Times New Roman"/>
          <w:sz w:val="32"/>
          <w:szCs w:val="32"/>
          <w:lang w:val="zh-CN"/>
        </w:rPr>
        <w:t>11.3432</w:t>
      </w:r>
      <w:r>
        <w:rPr>
          <w:rFonts w:ascii="Times New Roman" w:hAnsi="Times New Roman" w:eastAsia="仿宋_GB2312" w:cs="Times New Roman"/>
          <w:sz w:val="32"/>
          <w:szCs w:val="32"/>
          <w:lang w:val="zh-CN"/>
        </w:rPr>
        <w:t>公顷）经完善相关手续后依照规划安排作为</w:t>
      </w:r>
      <w:r>
        <w:rPr>
          <w:rFonts w:hint="eastAsia" w:ascii="Times New Roman" w:hAnsi="Times New Roman" w:eastAsia="仿宋_GB2312" w:cs="Times New Roman"/>
          <w:sz w:val="32"/>
          <w:szCs w:val="32"/>
        </w:rPr>
        <w:t>广州市</w:t>
      </w:r>
      <w:r>
        <w:rPr>
          <w:rFonts w:hint="eastAsia" w:ascii="Times New Roman" w:hAnsi="Times New Roman" w:eastAsia="仿宋_GB2312" w:cs="Times New Roman"/>
          <w:sz w:val="32"/>
          <w:szCs w:val="32"/>
          <w:lang w:eastAsia="zh-CN"/>
        </w:rPr>
        <w:t>南沙</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lang w:val="zh-CN"/>
        </w:rPr>
        <w:t>城镇建设用地</w:t>
      </w:r>
      <w:r>
        <w:rPr>
          <w:rFonts w:hint="default" w:ascii="Times New Roman" w:hAnsi="Times New Roman" w:eastAsia="仿宋_GB2312" w:cs="Times New Roman"/>
          <w:sz w:val="32"/>
          <w:szCs w:val="32"/>
          <w:lang w:val="zh-CN" w:eastAsia="zh-CN"/>
        </w:rPr>
        <w:t>。</w:t>
      </w:r>
    </w:p>
    <w:p>
      <w:pPr>
        <w:widowControl/>
        <w:numPr>
          <w:ilvl w:val="0"/>
          <w:numId w:val="0"/>
        </w:numPr>
        <w:spacing w:line="600" w:lineRule="exact"/>
        <w:ind w:firstLine="632" w:firstLineChars="200"/>
        <w:textAlignment w:val="baseline"/>
        <w:rPr>
          <w:rFonts w:eastAsia="仿宋_GB2312"/>
          <w:sz w:val="32"/>
          <w:szCs w:val="32"/>
        </w:rPr>
      </w:pPr>
      <w:r>
        <w:rPr>
          <w:rFonts w:hint="eastAsia" w:eastAsia="仿宋_GB2312" w:cs="Times New Roman"/>
          <w:sz w:val="32"/>
          <w:szCs w:val="32"/>
          <w:lang w:eastAsia="zh-CN"/>
        </w:rPr>
        <w:t>三、</w:t>
      </w:r>
      <w:r>
        <w:rPr>
          <w:rFonts w:ascii="Times New Roman" w:hAnsi="Times New Roman" w:eastAsia="仿宋_GB2312" w:cs="Times New Roman"/>
          <w:sz w:val="32"/>
          <w:szCs w:val="32"/>
        </w:rPr>
        <w:t>该批次用地在土地利用总体规划中安排为城乡建设用地</w:t>
      </w:r>
      <w:r>
        <w:rPr>
          <w:rFonts w:hint="eastAsia" w:eastAsia="仿宋_GB2312" w:cs="Times New Roman"/>
          <w:sz w:val="32"/>
          <w:szCs w:val="32"/>
          <w:lang w:eastAsia="zh-CN"/>
        </w:rPr>
        <w:t>、</w:t>
      </w:r>
      <w:r>
        <w:rPr>
          <w:rFonts w:hint="eastAsia" w:eastAsia="仿宋_GB2312"/>
          <w:sz w:val="32"/>
          <w:szCs w:val="32"/>
        </w:rPr>
        <w:t>交通水利</w:t>
      </w:r>
      <w:r>
        <w:rPr>
          <w:rFonts w:hint="eastAsia" w:eastAsia="仿宋_GB2312"/>
          <w:sz w:val="32"/>
          <w:szCs w:val="32"/>
          <w:lang w:val="en-US" w:eastAsia="zh-CN"/>
        </w:rPr>
        <w:t>建设</w:t>
      </w:r>
      <w:r>
        <w:rPr>
          <w:rFonts w:hint="eastAsia" w:eastAsia="仿宋_GB2312"/>
          <w:sz w:val="32"/>
          <w:szCs w:val="32"/>
        </w:rPr>
        <w:t>用地</w:t>
      </w:r>
      <w:r>
        <w:rPr>
          <w:rFonts w:ascii="Times New Roman" w:hAnsi="Times New Roman" w:eastAsia="仿宋_GB2312" w:cs="Times New Roman"/>
          <w:sz w:val="32"/>
          <w:szCs w:val="32"/>
        </w:rPr>
        <w:t>，供地时土地用途应与土地利用总体规划中</w:t>
      </w:r>
      <w:r>
        <w:rPr>
          <w:rFonts w:eastAsia="仿宋_GB2312"/>
          <w:sz w:val="32"/>
          <w:szCs w:val="32"/>
        </w:rPr>
        <w:t>的规划安排相符；同时，供地方式、供地规模、供地标准等应严格按照国家和省的有关规定执行，切实做到节约集约用地。</w:t>
      </w:r>
    </w:p>
    <w:p>
      <w:pPr>
        <w:widowControl/>
        <w:spacing w:line="600" w:lineRule="exact"/>
        <w:ind w:firstLine="645"/>
        <w:textAlignment w:val="baseline"/>
        <w:rPr>
          <w:rFonts w:eastAsia="仿宋_GB2312"/>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及时将批后实施情况及具体项目的供地情况在省土地市场动态监测与监管系统填报，并按规定报备。</w:t>
      </w:r>
    </w:p>
    <w:p>
      <w:pPr>
        <w:widowControl/>
        <w:spacing w:line="600" w:lineRule="exact"/>
        <w:ind w:firstLine="645"/>
        <w:textAlignment w:val="baseline"/>
        <w:rPr>
          <w:rFonts w:eastAsia="仿宋_GB2312"/>
          <w:sz w:val="32"/>
          <w:szCs w:val="32"/>
        </w:rPr>
      </w:pPr>
      <w:r>
        <w:rPr>
          <w:rFonts w:eastAsia="仿宋_GB2312"/>
          <w:sz w:val="32"/>
          <w:szCs w:val="32"/>
        </w:rPr>
        <w:t>五、使用土地涉及有关税费的收缴或调整，请按有关规定办理。</w:t>
      </w:r>
    </w:p>
    <w:p>
      <w:pPr>
        <w:spacing w:line="560" w:lineRule="exact"/>
        <w:ind w:firstLine="632" w:firstLineChars="200"/>
        <w:rPr>
          <w:rFonts w:hint="default" w:ascii="Times New Roman" w:hAnsi="Times New Roman" w:eastAsia="仿宋_GB2312" w:cs="Times New Roman"/>
          <w:color w:val="auto"/>
          <w:sz w:val="32"/>
          <w:szCs w:val="32"/>
        </w:rPr>
      </w:pPr>
      <w:r>
        <w:rPr>
          <w:rFonts w:hint="eastAsia" w:eastAsia="仿宋_GB2312"/>
          <w:sz w:val="32"/>
          <w:szCs w:val="32"/>
          <w:lang w:val="en-US" w:eastAsia="zh-CN"/>
        </w:rPr>
        <w:t>六</w:t>
      </w:r>
      <w:r>
        <w:rPr>
          <w:rFonts w:eastAsia="仿宋_GB2312"/>
          <w:sz w:val="32"/>
          <w:szCs w:val="32"/>
        </w:rPr>
        <w:t>、</w:t>
      </w:r>
      <w:r>
        <w:rPr>
          <w:rFonts w:hint="default" w:ascii="Times New Roman" w:hAnsi="Times New Roman" w:eastAsia="仿宋_GB2312" w:cs="Times New Roman"/>
          <w:color w:val="auto"/>
          <w:sz w:val="32"/>
          <w:szCs w:val="32"/>
        </w:rPr>
        <w:t>应按照有关规定发布公告，保障相关土地权利人的知情权。</w:t>
      </w:r>
    </w:p>
    <w:p>
      <w:pPr>
        <w:widowControl/>
        <w:spacing w:line="600" w:lineRule="exact"/>
        <w:ind w:firstLine="645"/>
        <w:textAlignment w:val="baseline"/>
        <w:rPr>
          <w:rFonts w:eastAsia="仿宋_GB2312"/>
          <w:sz w:val="32"/>
          <w:szCs w:val="32"/>
        </w:rPr>
      </w:pPr>
    </w:p>
    <w:p>
      <w:pPr>
        <w:widowControl/>
        <w:spacing w:line="600" w:lineRule="exact"/>
        <w:ind w:firstLine="645"/>
        <w:textAlignment w:val="baseline"/>
        <w:rPr>
          <w:rFonts w:hint="eastAsia" w:eastAsia="仿宋_GB2312"/>
          <w:sz w:val="32"/>
          <w:szCs w:val="32"/>
        </w:rPr>
      </w:pPr>
      <w:r>
        <w:rPr>
          <w:rFonts w:hint="eastAsia" w:eastAsia="仿宋_GB2312"/>
          <w:sz w:val="32"/>
          <w:szCs w:val="32"/>
        </w:rPr>
        <w:t xml:space="preserve">                              </w:t>
      </w:r>
    </w:p>
    <w:p>
      <w:pPr>
        <w:widowControl/>
        <w:spacing w:line="600" w:lineRule="exact"/>
        <w:ind w:firstLine="645"/>
        <w:textAlignment w:val="baseline"/>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2022</w:t>
      </w:r>
      <w:r>
        <w:rPr>
          <w:rFonts w:hint="eastAsia" w:eastAsia="仿宋_GB2312"/>
          <w:sz w:val="32"/>
          <w:szCs w:val="32"/>
        </w:rPr>
        <w:t xml:space="preserve"> </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7</w:t>
      </w:r>
      <w:r>
        <w:rPr>
          <w:rFonts w:eastAsia="仿宋_GB2312"/>
          <w:sz w:val="32"/>
          <w:szCs w:val="32"/>
        </w:rPr>
        <w:t>日</w:t>
      </w:r>
    </w:p>
    <w:p>
      <w:pPr>
        <w:pStyle w:val="2"/>
        <w:rPr>
          <w:rFonts w:eastAsia="仿宋_GB2312"/>
          <w:sz w:val="32"/>
          <w:szCs w:val="32"/>
        </w:rPr>
      </w:pPr>
    </w:p>
    <w:p>
      <w:pPr>
        <w:pStyle w:val="2"/>
        <w:jc w:val="both"/>
        <w:rPr>
          <w:rFonts w:hint="eastAsia"/>
        </w:rPr>
      </w:pPr>
    </w:p>
    <w:p>
      <w:bookmarkStart w:id="0" w:name="_GoBack"/>
      <w:bookmarkEnd w:id="0"/>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4</w:t>
    </w:r>
    <w:r>
      <w:rPr>
        <w:sz w:val="28"/>
        <w:szCs w:val="28"/>
      </w:rPr>
      <w:fldChar w:fldCharType="end"/>
    </w:r>
    <w:r>
      <w:rPr>
        <w:rStyle w:val="6"/>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TBmNzRkOTg4N2I2YWFmMmY4YzlmZmQxMjcxYTAifQ=="/>
  </w:docVars>
  <w:rsids>
    <w:rsidRoot w:val="685C0D5E"/>
    <w:rsid w:val="07454016"/>
    <w:rsid w:val="24340242"/>
    <w:rsid w:val="27AB53B3"/>
    <w:rsid w:val="28BD07BB"/>
    <w:rsid w:val="29104B44"/>
    <w:rsid w:val="2EBC6626"/>
    <w:rsid w:val="439F2396"/>
    <w:rsid w:val="44633237"/>
    <w:rsid w:val="4CEC2ED5"/>
    <w:rsid w:val="5005485D"/>
    <w:rsid w:val="5A6671EB"/>
    <w:rsid w:val="601A1550"/>
    <w:rsid w:val="618C60F8"/>
    <w:rsid w:val="685C0D5E"/>
    <w:rsid w:val="68DC6B9F"/>
    <w:rsid w:val="6B1E1781"/>
    <w:rsid w:val="6B3345E9"/>
    <w:rsid w:val="6F6C339E"/>
    <w:rsid w:val="6FFB5D98"/>
    <w:rsid w:val="7187415F"/>
    <w:rsid w:val="7510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kern w:val="0"/>
      <w:sz w:val="48"/>
      <w:szCs w:val="24"/>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735</Characters>
  <Lines>0</Lines>
  <Paragraphs>0</Paragraphs>
  <TotalTime>5</TotalTime>
  <ScaleCrop>false</ScaleCrop>
  <LinksUpToDate>false</LinksUpToDate>
  <CharactersWithSpaces>827</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2022-01-17T03:50:00Z</dcterms:created>
  <dc:creator>唐定坚</dc:creator>
  <cp:lastModifiedBy>荏苒   </cp:lastModifiedBy>
  <dcterms:modified xsi:type="dcterms:W3CDTF">2022-08-03T06:25:01Z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6F68052E6FBE47B9AA4708116DC5F174</vt:lpwstr>
  </property>
</Properties>
</file>