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i w:val="0"/>
          <w:caps w:val="0"/>
          <w:color w:val="auto"/>
          <w:spacing w:val="0"/>
          <w:kern w:val="0"/>
          <w:sz w:val="44"/>
          <w:szCs w:val="44"/>
          <w:u w:val="none"/>
          <w:shd w:val="clear" w:color="auto" w:fill="FFFFFF"/>
          <w:lang w:val="en-US" w:eastAsia="zh-CN" w:bidi="ar"/>
        </w:rPr>
      </w:pPr>
      <w:r>
        <w:rPr>
          <w:rFonts w:hint="eastAsia" w:ascii="方正小标宋_GBK" w:hAnsi="方正小标宋_GBK" w:eastAsia="方正小标宋_GBK" w:cs="方正小标宋_GBK"/>
          <w:b w:val="0"/>
          <w:bCs/>
          <w:color w:val="auto"/>
          <w:sz w:val="44"/>
          <w:szCs w:val="44"/>
          <w:lang w:val="en-US" w:eastAsia="zh-CN"/>
        </w:rPr>
        <w:t>关于</w:t>
      </w:r>
      <w:r>
        <w:rPr>
          <w:rFonts w:hint="eastAsia" w:ascii="方正小标宋_GBK" w:hAnsi="方正小标宋_GBK" w:eastAsia="方正小标宋_GBK" w:cs="方正小标宋_GBK"/>
          <w:i w:val="0"/>
          <w:caps w:val="0"/>
          <w:color w:val="auto"/>
          <w:spacing w:val="0"/>
          <w:kern w:val="0"/>
          <w:sz w:val="44"/>
          <w:szCs w:val="44"/>
          <w:u w:val="none"/>
          <w:shd w:val="clear" w:color="auto" w:fill="FFFFFF"/>
          <w:lang w:val="en-US" w:eastAsia="zh-CN" w:bidi="ar"/>
        </w:rPr>
        <w:t>广州市从化区2022年度第六批次城镇建设用地征收江埔街江村村、凤院村</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i w:val="0"/>
          <w:caps w:val="0"/>
          <w:color w:val="auto"/>
          <w:spacing w:val="0"/>
          <w:kern w:val="0"/>
          <w:sz w:val="44"/>
          <w:szCs w:val="44"/>
          <w:u w:val="none"/>
          <w:shd w:val="clear" w:color="auto" w:fill="FFFFFF"/>
          <w:lang w:val="en-US" w:eastAsia="zh-CN" w:bidi="ar"/>
        </w:rPr>
        <w:t>集体地123.282亩</w:t>
      </w:r>
      <w:r>
        <w:rPr>
          <w:rFonts w:hint="eastAsia" w:ascii="方正小标宋_GBK" w:hAnsi="方正小标宋_GBK" w:eastAsia="方正小标宋_GBK" w:cs="方正小标宋_GBK"/>
          <w:b w:val="0"/>
          <w:bCs/>
          <w:color w:val="auto"/>
          <w:sz w:val="44"/>
          <w:szCs w:val="44"/>
          <w:lang w:val="en-US" w:eastAsia="zh-CN"/>
        </w:rPr>
        <w:t>征地项目被征地</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方正小标宋_GBK" w:hAnsi="方正小标宋_GBK" w:eastAsia="方正小标宋_GBK" w:cs="方正小标宋_GBK"/>
          <w:b w:val="0"/>
          <w:bCs/>
          <w:color w:val="auto"/>
          <w:sz w:val="44"/>
          <w:szCs w:val="44"/>
          <w:lang w:val="en-US" w:eastAsia="zh-CN"/>
        </w:rPr>
        <w:t>农民养老保障方案</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有关规定精神，拟定</w:t>
      </w:r>
      <w:r>
        <w:rPr>
          <w:rFonts w:hint="eastAsia" w:ascii="仿宋_GB2312" w:hAnsi="仿宋_GB2312" w:cs="仿宋_GB2312"/>
          <w:color w:val="auto"/>
          <w:lang w:val="en-US" w:eastAsia="zh-CN"/>
        </w:rPr>
        <w:t>广州市</w:t>
      </w:r>
      <w:r>
        <w:rPr>
          <w:rFonts w:hint="eastAsia" w:ascii="仿宋_GB2312" w:hAnsi="仿宋_GB2312" w:eastAsia="仿宋_GB2312" w:cs="仿宋_GB2312"/>
          <w:color w:val="auto"/>
          <w:lang w:val="en-US" w:eastAsia="zh-CN"/>
        </w:rPr>
        <w:t>从化区</w:t>
      </w:r>
      <w:r>
        <w:rPr>
          <w:rFonts w:hint="eastAsia" w:ascii="仿宋_GB2312" w:hAnsi="仿宋_GB2312" w:cs="仿宋_GB2312"/>
          <w:color w:val="auto"/>
          <w:lang w:val="en-US" w:eastAsia="zh-CN"/>
        </w:rPr>
        <w:t>2022</w:t>
      </w:r>
      <w:r>
        <w:rPr>
          <w:rFonts w:hint="eastAsia" w:ascii="仿宋_GB2312" w:hAnsi="仿宋_GB2312" w:eastAsia="仿宋_GB2312" w:cs="仿宋_GB2312"/>
          <w:color w:val="auto"/>
          <w:lang w:val="en-US" w:eastAsia="zh-CN"/>
        </w:rPr>
        <w:t>年度第</w:t>
      </w:r>
      <w:r>
        <w:rPr>
          <w:rFonts w:hint="eastAsia" w:ascii="仿宋_GB2312" w:hAnsi="仿宋_GB2312" w:cs="仿宋_GB2312"/>
          <w:color w:val="auto"/>
          <w:lang w:val="en-US" w:eastAsia="zh-CN"/>
        </w:rPr>
        <w:t>六</w:t>
      </w:r>
      <w:r>
        <w:rPr>
          <w:rFonts w:hint="eastAsia" w:ascii="仿宋_GB2312" w:hAnsi="仿宋_GB2312" w:eastAsia="仿宋_GB2312" w:cs="仿宋_GB2312"/>
          <w:color w:val="auto"/>
          <w:lang w:val="en-US" w:eastAsia="zh-CN"/>
        </w:rPr>
        <w:t>批次城镇建设用地征地项目被征地农民养老保障方案如下：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w:t>
      </w:r>
      <w:r>
        <w:rPr>
          <w:rFonts w:hint="eastAsia" w:ascii="仿宋_GB2312" w:hAnsi="仿宋_GB2312" w:eastAsia="仿宋_GB2312" w:cs="仿宋_GB2312"/>
          <w:color w:val="auto"/>
          <w:lang w:val="en-US" w:eastAsia="zh-CN"/>
        </w:rPr>
        <w:t>从化区</w:t>
      </w:r>
      <w:r>
        <w:rPr>
          <w:rFonts w:hint="eastAsia" w:ascii="仿宋_GB2312" w:hAnsi="仿宋_GB2312" w:cs="仿宋_GB2312"/>
          <w:color w:val="auto"/>
          <w:lang w:val="en-US" w:eastAsia="zh-CN"/>
        </w:rPr>
        <w:t>2022</w:t>
      </w:r>
      <w:r>
        <w:rPr>
          <w:rFonts w:hint="eastAsia" w:ascii="仿宋_GB2312" w:hAnsi="仿宋_GB2312" w:eastAsia="仿宋_GB2312" w:cs="仿宋_GB2312"/>
          <w:color w:val="auto"/>
          <w:lang w:val="en-US" w:eastAsia="zh-CN"/>
        </w:rPr>
        <w:t>年度第</w:t>
      </w:r>
      <w:r>
        <w:rPr>
          <w:rFonts w:hint="eastAsia" w:ascii="仿宋_GB2312" w:hAnsi="仿宋_GB2312" w:cs="仿宋_GB2312"/>
          <w:color w:val="auto"/>
          <w:lang w:val="en-US" w:eastAsia="zh-CN"/>
        </w:rPr>
        <w:t>六</w:t>
      </w:r>
      <w:r>
        <w:rPr>
          <w:rFonts w:hint="eastAsia" w:ascii="仿宋_GB2312" w:hAnsi="仿宋_GB2312" w:eastAsia="仿宋_GB2312" w:cs="仿宋_GB2312"/>
          <w:color w:val="auto"/>
          <w:lang w:val="en-US" w:eastAsia="zh-CN"/>
        </w:rPr>
        <w:t>批次城镇建设用地征地项目涉及</w:t>
      </w:r>
      <w:r>
        <w:rPr>
          <w:rFonts w:hint="eastAsia" w:ascii="仿宋_GB2312" w:hAnsi="仿宋_GB2312" w:cs="仿宋_GB2312"/>
          <w:color w:val="auto"/>
          <w:lang w:val="en-US" w:eastAsia="zh-CN"/>
        </w:rPr>
        <w:t>江埔街江村村、凤院村</w:t>
      </w:r>
      <w:r>
        <w:rPr>
          <w:rFonts w:hint="eastAsia" w:ascii="仿宋_GB2312" w:hAnsi="仿宋_GB2312" w:eastAsia="仿宋_GB2312" w:cs="仿宋_GB2312"/>
          <w:color w:val="auto"/>
          <w:lang w:val="en-US" w:eastAsia="zh-CN"/>
        </w:rPr>
        <w:t>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w:t>
      </w:r>
      <w:r>
        <w:rPr>
          <w:rFonts w:hint="eastAsia" w:cs="Times New Roman"/>
          <w:i w:val="0"/>
          <w:caps w:val="0"/>
          <w:color w:val="auto"/>
          <w:spacing w:val="0"/>
          <w:kern w:val="0"/>
          <w:sz w:val="32"/>
          <w:szCs w:val="32"/>
          <w:shd w:val="clear" w:color="auto" w:fill="FFFFFF"/>
          <w:lang w:val="en-US" w:eastAsia="zh-CN" w:bidi="ar"/>
        </w:rPr>
        <w:t>筹集。该用地项目征收</w:t>
      </w:r>
      <w:r>
        <w:rPr>
          <w:rFonts w:hint="eastAsia" w:ascii="仿宋_GB2312" w:hAnsi="仿宋_GB2312" w:eastAsia="仿宋_GB2312" w:cs="仿宋_GB2312"/>
          <w:color w:val="auto"/>
          <w:lang w:val="en-US" w:eastAsia="zh-CN"/>
        </w:rPr>
        <w:t>从化区</w:t>
      </w:r>
      <w:r>
        <w:rPr>
          <w:rFonts w:hint="eastAsia" w:ascii="仿宋_GB2312" w:hAnsi="仿宋_GB2312" w:cs="仿宋_GB2312"/>
          <w:color w:val="auto"/>
          <w:lang w:val="en-US" w:eastAsia="zh-CN"/>
        </w:rPr>
        <w:t>江埔街江村村、凤院村的集体土地123.282亩，按我区平均每亩征收农用地区片综合价9.74万元的18%的比例计提</w:t>
      </w:r>
      <w:r>
        <w:rPr>
          <w:rFonts w:hint="eastAsia" w:ascii="Times New Roman" w:hAnsi="Times New Roman" w:cs="Times New Roman"/>
          <w:i w:val="0"/>
          <w:caps w:val="0"/>
          <w:color w:val="auto"/>
          <w:spacing w:val="0"/>
          <w:kern w:val="0"/>
          <w:sz w:val="32"/>
          <w:szCs w:val="32"/>
          <w:u w:val="none"/>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需计提养老保障费</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用</w:t>
      </w:r>
      <w:r>
        <w:rPr>
          <w:rFonts w:hint="eastAsia" w:ascii="仿宋_GB2312" w:hAnsi="仿宋_GB2312" w:cs="仿宋_GB2312"/>
          <w:i w:val="0"/>
          <w:caps w:val="0"/>
          <w:color w:val="auto"/>
          <w:spacing w:val="0"/>
          <w:kern w:val="0"/>
          <w:sz w:val="32"/>
          <w:szCs w:val="32"/>
          <w:u w:val="none"/>
          <w:shd w:val="clear" w:color="auto" w:fill="FFFFFF"/>
          <w:lang w:val="en-US" w:eastAsia="zh-CN" w:bidi="ar"/>
        </w:rPr>
        <w:t>人民币216.16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万元。</w:t>
      </w:r>
      <w:r>
        <w:rPr>
          <w:rFonts w:hint="eastAsia" w:ascii="仿宋_GB2312" w:hAnsi="仿宋_GB2312" w:eastAsia="仿宋_GB2312" w:cs="仿宋_GB2312"/>
          <w:color w:val="auto"/>
          <w:kern w:val="0"/>
          <w:sz w:val="32"/>
          <w:szCs w:val="32"/>
        </w:rPr>
        <w:t>被征收土地属于农村集体经济组织留用地的，不计提养老保障资金。</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由被征地单位所在镇政府（街道办事处）牵头组织被征地农户确定具体参保人员名单和分配金额。</w:t>
      </w:r>
    </w:p>
    <w:p>
      <w:pPr>
        <w:pStyle w:val="2"/>
        <w:rPr>
          <w:rFonts w:hint="eastAsia"/>
          <w:color w:val="auto"/>
        </w:rPr>
      </w:pPr>
    </w:p>
    <w:p>
      <w:p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附表：征地土地情况一览表 </w:t>
      </w:r>
    </w:p>
    <w:p>
      <w:pPr>
        <w:pStyle w:val="2"/>
        <w:rPr>
          <w:rFonts w:hint="eastAsia"/>
          <w:color w:val="auto"/>
        </w:rPr>
      </w:pPr>
    </w:p>
    <w:p>
      <w:pPr>
        <w:pStyle w:val="2"/>
        <w:ind w:left="0" w:leftChars="0" w:firstLine="0" w:firstLineChars="0"/>
        <w:rPr>
          <w:rFonts w:hint="eastAsia"/>
          <w:color w:val="auto"/>
          <w:lang w:val="en-US" w:eastAsia="zh-CN"/>
        </w:rPr>
      </w:pPr>
    </w:p>
    <w:p>
      <w:pPr>
        <w:ind w:firstLine="2880" w:firstLineChars="9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广州市</w:t>
      </w:r>
      <w:r>
        <w:rPr>
          <w:rFonts w:hint="eastAsia" w:ascii="仿宋_GB2312" w:hAnsi="仿宋_GB2312" w:cs="仿宋_GB2312"/>
          <w:color w:val="auto"/>
          <w:lang w:val="en-US" w:eastAsia="zh-CN"/>
        </w:rPr>
        <w:t>从化</w:t>
      </w:r>
      <w:r>
        <w:rPr>
          <w:rFonts w:hint="eastAsia" w:ascii="仿宋_GB2312" w:hAnsi="仿宋_GB2312" w:eastAsia="仿宋_GB2312" w:cs="仿宋_GB2312"/>
          <w:color w:val="auto"/>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lang w:val="en-US" w:eastAsia="zh-CN"/>
        </w:rPr>
        <w:t xml:space="preserve">    </w:t>
      </w:r>
      <w:r>
        <w:rPr>
          <w:rFonts w:hint="eastAsia" w:ascii="仿宋_GB2312" w:hAnsi="仿宋_GB2312" w:cs="仿宋_GB2312"/>
          <w:color w:val="auto"/>
          <w:lang w:val="en-US" w:eastAsia="zh-CN"/>
        </w:rPr>
        <w:t xml:space="preserve">                      2022</w:t>
      </w:r>
      <w:r>
        <w:rPr>
          <w:rFonts w:hint="eastAsia" w:ascii="仿宋_GB2312" w:hAnsi="仿宋_GB2312" w:eastAsia="仿宋_GB2312" w:cs="仿宋_GB2312"/>
          <w:color w:val="auto"/>
          <w:lang w:val="en-US" w:eastAsia="zh-CN"/>
        </w:rPr>
        <w:t>年</w:t>
      </w:r>
      <w:r>
        <w:rPr>
          <w:rFonts w:hint="eastAsia" w:ascii="仿宋_GB2312" w:hAnsi="仿宋_GB2312" w:cs="仿宋_GB2312"/>
          <w:color w:val="auto"/>
          <w:lang w:val="en-US" w:eastAsia="zh-CN"/>
        </w:rPr>
        <w:t>6</w:t>
      </w:r>
      <w:r>
        <w:rPr>
          <w:rFonts w:hint="eastAsia" w:ascii="仿宋_GB2312" w:hAnsi="仿宋_GB2312" w:eastAsia="仿宋_GB2312" w:cs="仿宋_GB2312"/>
          <w:color w:val="auto"/>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pStyle w:val="3"/>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pStyle w:val="2"/>
        <w:rPr>
          <w:rFonts w:hint="eastAsia" w:ascii="黑体" w:hAnsi="黑体" w:eastAsia="黑体" w:cs="黑体"/>
          <w:b w:val="0"/>
          <w:bCs w:val="0"/>
          <w:color w:val="auto"/>
          <w:sz w:val="32"/>
          <w:szCs w:val="32"/>
        </w:rPr>
      </w:pPr>
    </w:p>
    <w:p>
      <w:pPr>
        <w:pStyle w:val="3"/>
        <w:rPr>
          <w:rFonts w:hint="eastAsia" w:ascii="黑体" w:hAnsi="黑体" w:eastAsia="黑体" w:cs="黑体"/>
          <w:b w:val="0"/>
          <w:bCs w:val="0"/>
          <w:color w:val="auto"/>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征地土地情况一览表</w:t>
      </w:r>
    </w:p>
    <w:p>
      <w:pPr>
        <w:pStyle w:val="2"/>
        <w:rPr>
          <w:rFonts w:hint="eastAsia"/>
          <w:color w:val="auto"/>
        </w:rPr>
      </w:pPr>
    </w:p>
    <w:tbl>
      <w:tblPr>
        <w:tblStyle w:val="6"/>
        <w:tblpPr w:leftFromText="180" w:rightFromText="180" w:vertAnchor="text" w:horzAnchor="page" w:tblpX="2115" w:tblpY="457"/>
        <w:tblOverlap w:val="never"/>
        <w:tblW w:w="818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2804"/>
        <w:gridCol w:w="2690"/>
        <w:gridCol w:w="268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65" w:hRule="atLeast"/>
        </w:trPr>
        <w:tc>
          <w:tcPr>
            <w:tcW w:w="2804" w:type="dxa"/>
            <w:tcBorders>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eastAsia" w:ascii="黑体" w:hAnsi="黑体" w:eastAsia="黑体" w:cs="黑体"/>
                <w:i w:val="0"/>
                <w:caps w:val="0"/>
                <w:color w:val="auto"/>
                <w:spacing w:val="0"/>
                <w:kern w:val="0"/>
                <w:sz w:val="28"/>
                <w:szCs w:val="28"/>
                <w:shd w:val="clear" w:color="auto" w:fill="FFFFFF"/>
                <w:lang w:val="en-US" w:eastAsia="zh-CN" w:bidi="ar"/>
              </w:rPr>
            </w:pPr>
            <w:r>
              <w:rPr>
                <w:rFonts w:hint="eastAsia" w:ascii="黑体" w:hAnsi="黑体" w:eastAsia="黑体" w:cs="黑体"/>
                <w:i w:val="0"/>
                <w:caps w:val="0"/>
                <w:color w:val="auto"/>
                <w:spacing w:val="0"/>
                <w:kern w:val="0"/>
                <w:sz w:val="28"/>
                <w:szCs w:val="28"/>
                <w:shd w:val="clear" w:color="auto" w:fill="FFFFFF"/>
                <w:lang w:val="en-US" w:eastAsia="zh-CN" w:bidi="ar"/>
              </w:rPr>
              <w:t>涉及被征地单位</w:t>
            </w:r>
          </w:p>
        </w:tc>
        <w:tc>
          <w:tcPr>
            <w:tcW w:w="2690" w:type="dxa"/>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eastAsia" w:ascii="黑体" w:hAnsi="黑体" w:eastAsia="黑体" w:cs="黑体"/>
                <w:i w:val="0"/>
                <w:caps w:val="0"/>
                <w:color w:val="auto"/>
                <w:spacing w:val="0"/>
                <w:kern w:val="0"/>
                <w:sz w:val="28"/>
                <w:szCs w:val="28"/>
                <w:shd w:val="clear" w:color="auto" w:fill="FFFFFF"/>
                <w:lang w:val="en-US" w:eastAsia="zh-CN" w:bidi="ar"/>
              </w:rPr>
            </w:pPr>
            <w:r>
              <w:rPr>
                <w:rFonts w:hint="eastAsia" w:ascii="黑体" w:hAnsi="黑体" w:eastAsia="黑体" w:cs="黑体"/>
                <w:i w:val="0"/>
                <w:caps w:val="0"/>
                <w:color w:val="auto"/>
                <w:spacing w:val="0"/>
                <w:kern w:val="0"/>
                <w:sz w:val="28"/>
                <w:szCs w:val="28"/>
                <w:shd w:val="clear" w:color="auto" w:fill="FFFFFF"/>
                <w:lang w:val="en-US" w:eastAsia="zh-CN" w:bidi="ar"/>
              </w:rPr>
              <w:t>征收集体土地面积（亩）</w:t>
            </w:r>
          </w:p>
        </w:tc>
        <w:tc>
          <w:tcPr>
            <w:tcW w:w="2686" w:type="dxa"/>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eastAsia" w:ascii="黑体" w:hAnsi="黑体" w:eastAsia="黑体" w:cs="黑体"/>
                <w:i w:val="0"/>
                <w:caps w:val="0"/>
                <w:color w:val="auto"/>
                <w:spacing w:val="0"/>
                <w:kern w:val="0"/>
                <w:sz w:val="28"/>
                <w:szCs w:val="28"/>
                <w:shd w:val="clear" w:color="auto" w:fill="FFFFFF"/>
                <w:lang w:val="en-US" w:eastAsia="zh-CN" w:bidi="ar"/>
              </w:rPr>
            </w:pPr>
            <w:r>
              <w:rPr>
                <w:rFonts w:hint="eastAsia" w:ascii="黑体" w:hAnsi="黑体" w:eastAsia="黑体" w:cs="黑体"/>
                <w:i w:val="0"/>
                <w:caps w:val="0"/>
                <w:color w:val="auto"/>
                <w:spacing w:val="0"/>
                <w:kern w:val="0"/>
                <w:sz w:val="28"/>
                <w:szCs w:val="28"/>
                <w:shd w:val="clear" w:color="auto" w:fill="FFFFFF"/>
                <w:lang w:val="en-US" w:eastAsia="zh-CN" w:bidi="ar"/>
              </w:rPr>
              <w:t>属于被征地单位留用地面积（亩）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33" w:hRule="atLeast"/>
        </w:trPr>
        <w:tc>
          <w:tcPr>
            <w:tcW w:w="2804" w:type="dxa"/>
            <w:tcBorders>
              <w:top w:val="nil"/>
              <w:bottom w:val="single" w:color="auto" w:sz="8" w:space="0"/>
              <w:right w:val="single" w:color="auto" w:sz="8" w:space="0"/>
            </w:tcBorders>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color w:val="auto"/>
                <w:kern w:val="0"/>
                <w:sz w:val="28"/>
                <w:szCs w:val="28"/>
                <w:shd w:val="clear" w:color="auto" w:fill="FFFFFF"/>
                <w:lang w:eastAsia="zh-CN" w:bidi="ar"/>
              </w:rPr>
              <w:t>江埔街江村村仁厚股份合作经济社</w:t>
            </w:r>
          </w:p>
        </w:tc>
        <w:tc>
          <w:tcPr>
            <w:tcW w:w="2690" w:type="dxa"/>
            <w:tcBorders>
              <w:top w:val="nil"/>
              <w:left w:val="nil"/>
              <w:bottom w:val="single" w:color="auto" w:sz="8" w:space="0"/>
              <w:right w:val="single" w:color="auto" w:sz="8" w:space="0"/>
            </w:tcBorders>
            <w:noWrap w:val="0"/>
            <w:tcMar>
              <w:left w:w="108" w:type="dxa"/>
              <w:right w:w="108" w:type="dxa"/>
            </w:tcMar>
            <w:vAlign w:val="center"/>
          </w:tcPr>
          <w:p>
            <w:pPr>
              <w:widowControl/>
              <w:shd w:val="clear" w:color="auto" w:fill="FFFFFF"/>
              <w:spacing w:line="720" w:lineRule="auto"/>
              <w:jc w:val="center"/>
              <w:rPr>
                <w:rFonts w:hint="default"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color w:val="auto"/>
                <w:kern w:val="0"/>
                <w:sz w:val="28"/>
                <w:szCs w:val="28"/>
                <w:shd w:val="clear" w:color="auto" w:fill="FFFFFF"/>
                <w:lang w:val="en-US" w:eastAsia="zh-CN" w:bidi="ar"/>
              </w:rPr>
              <w:t>109.548</w:t>
            </w:r>
          </w:p>
        </w:tc>
        <w:tc>
          <w:tcPr>
            <w:tcW w:w="26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firstLine="1120" w:firstLineChars="400"/>
              <w:jc w:val="both"/>
              <w:textAlignment w:val="auto"/>
              <w:outlineLvl w:val="9"/>
              <w:rPr>
                <w:rFonts w:hint="default" w:ascii="仿宋_GB2312" w:hAnsi="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i w:val="0"/>
                <w:caps w:val="0"/>
                <w:color w:val="auto"/>
                <w:spacing w:val="0"/>
                <w:kern w:val="0"/>
                <w:sz w:val="28"/>
                <w:szCs w:val="28"/>
                <w:shd w:val="clear" w:color="auto" w:fill="FFFFFF"/>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30" w:hRule="atLeast"/>
        </w:trPr>
        <w:tc>
          <w:tcPr>
            <w:tcW w:w="2804" w:type="dxa"/>
            <w:tcBorders>
              <w:top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eastAsia"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color w:val="auto"/>
                <w:kern w:val="0"/>
                <w:sz w:val="28"/>
                <w:szCs w:val="28"/>
                <w:shd w:val="clear" w:color="auto" w:fill="FFFFFF"/>
                <w:lang w:eastAsia="zh-CN" w:bidi="ar"/>
              </w:rPr>
              <w:t>江埔街江村村沙塱股份合作经济社</w:t>
            </w:r>
          </w:p>
        </w:tc>
        <w:tc>
          <w:tcPr>
            <w:tcW w:w="2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default"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i w:val="0"/>
                <w:caps w:val="0"/>
                <w:color w:val="auto"/>
                <w:spacing w:val="0"/>
                <w:kern w:val="0"/>
                <w:sz w:val="28"/>
                <w:szCs w:val="28"/>
                <w:shd w:val="clear" w:color="auto" w:fill="FFFFFF"/>
                <w:lang w:val="en-US" w:eastAsia="zh-CN" w:bidi="ar"/>
              </w:rPr>
              <w:t>3.366</w:t>
            </w:r>
          </w:p>
        </w:tc>
        <w:tc>
          <w:tcPr>
            <w:tcW w:w="26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default"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i w:val="0"/>
                <w:caps w:val="0"/>
                <w:color w:val="auto"/>
                <w:spacing w:val="0"/>
                <w:kern w:val="0"/>
                <w:sz w:val="28"/>
                <w:szCs w:val="28"/>
                <w:shd w:val="clear" w:color="auto" w:fill="FFFFFF"/>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30" w:hRule="atLeast"/>
        </w:trPr>
        <w:tc>
          <w:tcPr>
            <w:tcW w:w="2804" w:type="dxa"/>
            <w:tcBorders>
              <w:top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eastAsia"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color w:val="auto"/>
                <w:kern w:val="0"/>
                <w:sz w:val="28"/>
                <w:szCs w:val="28"/>
                <w:shd w:val="clear" w:color="auto" w:fill="FFFFFF"/>
                <w:lang w:eastAsia="zh-CN" w:bidi="ar"/>
              </w:rPr>
              <w:t>江埔街凤院村太下股份合作经济社</w:t>
            </w:r>
          </w:p>
        </w:tc>
        <w:tc>
          <w:tcPr>
            <w:tcW w:w="2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default"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i w:val="0"/>
                <w:caps w:val="0"/>
                <w:color w:val="auto"/>
                <w:spacing w:val="0"/>
                <w:kern w:val="0"/>
                <w:sz w:val="28"/>
                <w:szCs w:val="28"/>
                <w:shd w:val="clear" w:color="auto" w:fill="FFFFFF"/>
                <w:lang w:val="en-US" w:eastAsia="zh-CN" w:bidi="ar"/>
              </w:rPr>
              <w:t>1.4895</w:t>
            </w:r>
          </w:p>
        </w:tc>
        <w:tc>
          <w:tcPr>
            <w:tcW w:w="26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default"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i w:val="0"/>
                <w:caps w:val="0"/>
                <w:color w:val="auto"/>
                <w:spacing w:val="0"/>
                <w:kern w:val="0"/>
                <w:sz w:val="28"/>
                <w:szCs w:val="28"/>
                <w:shd w:val="clear" w:color="auto" w:fill="FFFFFF"/>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30" w:hRule="atLeast"/>
        </w:trPr>
        <w:tc>
          <w:tcPr>
            <w:tcW w:w="2804" w:type="dxa"/>
            <w:tcBorders>
              <w:top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eastAsia"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color w:val="auto"/>
                <w:kern w:val="0"/>
                <w:sz w:val="28"/>
                <w:szCs w:val="28"/>
                <w:shd w:val="clear" w:color="auto" w:fill="FFFFFF"/>
                <w:lang w:eastAsia="zh-CN" w:bidi="ar"/>
              </w:rPr>
              <w:t>江埔街凤院村旧上股份合作经济社</w:t>
            </w:r>
          </w:p>
        </w:tc>
        <w:tc>
          <w:tcPr>
            <w:tcW w:w="2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default"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i w:val="0"/>
                <w:caps w:val="0"/>
                <w:color w:val="auto"/>
                <w:spacing w:val="0"/>
                <w:kern w:val="0"/>
                <w:sz w:val="28"/>
                <w:szCs w:val="28"/>
                <w:shd w:val="clear" w:color="auto" w:fill="FFFFFF"/>
                <w:lang w:val="en-US" w:eastAsia="zh-CN" w:bidi="ar"/>
              </w:rPr>
              <w:t>8.8785</w:t>
            </w:r>
          </w:p>
        </w:tc>
        <w:tc>
          <w:tcPr>
            <w:tcW w:w="26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default"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i w:val="0"/>
                <w:caps w:val="0"/>
                <w:color w:val="auto"/>
                <w:spacing w:val="0"/>
                <w:kern w:val="0"/>
                <w:sz w:val="28"/>
                <w:szCs w:val="28"/>
                <w:shd w:val="clear" w:color="auto" w:fill="FFFFFF"/>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52" w:hRule="atLeast"/>
        </w:trPr>
        <w:tc>
          <w:tcPr>
            <w:tcW w:w="2804" w:type="dxa"/>
            <w:tcBorders>
              <w:top w:val="nil"/>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eastAsia"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caps w:val="0"/>
                <w:color w:val="auto"/>
                <w:spacing w:val="0"/>
                <w:kern w:val="0"/>
                <w:sz w:val="28"/>
                <w:szCs w:val="28"/>
                <w:shd w:val="clear" w:color="auto" w:fill="FFFFFF"/>
                <w:lang w:val="en-US" w:eastAsia="zh-CN" w:bidi="ar"/>
              </w:rPr>
              <w:t>合计</w:t>
            </w:r>
          </w:p>
        </w:tc>
        <w:tc>
          <w:tcPr>
            <w:tcW w:w="2690" w:type="dxa"/>
            <w:tcBorders>
              <w:top w:val="nil"/>
              <w:left w:val="nil"/>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default" w:ascii="仿宋_GB2312" w:hAnsi="仿宋_GB2312" w:eastAsia="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color w:val="auto"/>
                <w:kern w:val="0"/>
                <w:sz w:val="28"/>
                <w:szCs w:val="28"/>
                <w:shd w:val="clear" w:color="auto" w:fill="FFFFFF"/>
                <w:lang w:val="en-US" w:eastAsia="zh-CN" w:bidi="ar"/>
              </w:rPr>
              <w:t>123.282</w:t>
            </w:r>
          </w:p>
        </w:tc>
        <w:tc>
          <w:tcPr>
            <w:tcW w:w="2686" w:type="dxa"/>
            <w:tcBorders>
              <w:top w:val="nil"/>
              <w:left w:val="nil"/>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0" w:lineRule="atLeast"/>
              <w:ind w:right="0" w:rightChars="0"/>
              <w:jc w:val="center"/>
              <w:textAlignment w:val="auto"/>
              <w:outlineLvl w:val="9"/>
              <w:rPr>
                <w:rFonts w:hint="default" w:ascii="仿宋_GB2312" w:hAnsi="仿宋_GB2312" w:cs="仿宋_GB2312"/>
                <w:i w:val="0"/>
                <w:caps w:val="0"/>
                <w:color w:val="auto"/>
                <w:spacing w:val="0"/>
                <w:kern w:val="0"/>
                <w:sz w:val="28"/>
                <w:szCs w:val="28"/>
                <w:shd w:val="clear" w:color="auto" w:fill="FFFFFF"/>
                <w:lang w:val="en-US" w:eastAsia="zh-CN" w:bidi="ar"/>
              </w:rPr>
            </w:pPr>
            <w:r>
              <w:rPr>
                <w:rFonts w:hint="eastAsia" w:ascii="仿宋_GB2312" w:hAnsi="仿宋_GB2312" w:cs="仿宋_GB2312"/>
                <w:i w:val="0"/>
                <w:caps w:val="0"/>
                <w:color w:val="auto"/>
                <w:spacing w:val="0"/>
                <w:kern w:val="0"/>
                <w:sz w:val="28"/>
                <w:szCs w:val="28"/>
                <w:shd w:val="clear" w:color="auto" w:fill="FFFFFF"/>
                <w:lang w:val="en-US" w:eastAsia="zh-CN" w:bidi="ar"/>
              </w:rPr>
              <w:t>0</w:t>
            </w:r>
          </w:p>
        </w:tc>
      </w:tr>
    </w:tbl>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A7910"/>
    <w:rsid w:val="12341E88"/>
    <w:rsid w:val="15CE692B"/>
    <w:rsid w:val="211F0DDA"/>
    <w:rsid w:val="23141564"/>
    <w:rsid w:val="28702BCD"/>
    <w:rsid w:val="2B972895"/>
    <w:rsid w:val="36EF346B"/>
    <w:rsid w:val="383071EA"/>
    <w:rsid w:val="3CFF5EF7"/>
    <w:rsid w:val="3E3629B5"/>
    <w:rsid w:val="3EA022D5"/>
    <w:rsid w:val="3F6655A0"/>
    <w:rsid w:val="42A07318"/>
    <w:rsid w:val="4C363821"/>
    <w:rsid w:val="57B071EF"/>
    <w:rsid w:val="582D140E"/>
    <w:rsid w:val="5A806D09"/>
    <w:rsid w:val="5D7072F6"/>
    <w:rsid w:val="5F107184"/>
    <w:rsid w:val="614340C8"/>
    <w:rsid w:val="64374311"/>
    <w:rsid w:val="65A80799"/>
    <w:rsid w:val="65A9621A"/>
    <w:rsid w:val="7451241A"/>
    <w:rsid w:val="77514F62"/>
    <w:rsid w:val="7A4A27FD"/>
    <w:rsid w:val="7C1546B9"/>
    <w:rsid w:val="7D384D60"/>
    <w:rsid w:val="7DF3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杜凯</cp:lastModifiedBy>
  <cp:lastPrinted>2022-03-15T06:58:00Z</cp:lastPrinted>
  <dcterms:modified xsi:type="dcterms:W3CDTF">2022-07-15T01:40:49Z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