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</w:t>
      </w:r>
      <w:r>
        <w:rPr>
          <w:rFonts w:hint="eastAsia" w:ascii="仿宋_GB2312" w:hAnsi="仿宋_GB2312" w:eastAsia="仿宋_GB2312" w:cs="仿宋_GB2312"/>
          <w:sz w:val="32"/>
          <w:szCs w:val="32"/>
        </w:rPr>
        <w:t>审（02）〔20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五十三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增减挂钩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增减挂钩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）的请示》（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号）及相关材料已通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过审核。根据《中华人民共和国土地管理法》第四十四、四十五、四十六条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的有关规定，批复如下：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该批次用地属使用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跨省调剂城乡建设用地增减挂钩节余指标的用地，建新方案已获省自然资源厅批复（粤自然资函〔20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号），不需再单独办理农用地转用审批手续。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同意上报的征收土地方案。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同意你市将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南沙区东涌镇石排股份合作经济联合社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三沙村股份合作经济社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沙公堡股份合作经济联合社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属下的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集体农用地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5.9238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公顷（耕地0.7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公顷、园地0.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公顷、其他农用地4.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9380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)转为建设用地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以上5.9238公顷集体土地一并办理征收为国有土地手续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上述土地（合计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5.9238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公顷）经完善相关手续后依照规划安排作为广州市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区城</w:t>
      </w:r>
      <w:r>
        <w:rPr>
          <w:rFonts w:hint="eastAsia" w:ascii="仿宋_GB2312" w:hAnsi="仿宋_GB2312" w:eastAsia="仿宋_GB2312" w:cs="仿宋_GB2312"/>
          <w:sz w:val="32"/>
          <w:szCs w:val="32"/>
        </w:rPr>
        <w:t>镇建设用地。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该批次用地在土地利用总体规划中安排为城乡建设用地，供地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时土地用途应与土地利用总体规划中的规划安排相符；同时，供地方式、供地规模、供地标准</w:t>
      </w:r>
      <w:r>
        <w:rPr>
          <w:rFonts w:eastAsia="仿宋_GB2312"/>
          <w:color w:val="auto"/>
          <w:sz w:val="32"/>
          <w:szCs w:val="32"/>
        </w:rPr>
        <w:t>等应严格按照国家和省的有关规定执行，切实做到节约集约用地。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四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  <w:highlight w:val="none"/>
        </w:rPr>
        <w:t>请你市</w:t>
      </w:r>
      <w:r>
        <w:rPr>
          <w:rFonts w:hint="default" w:eastAsia="仿宋_GB2312"/>
          <w:color w:val="auto"/>
          <w:sz w:val="32"/>
          <w:szCs w:val="32"/>
          <w:highlight w:val="none"/>
          <w:lang w:eastAsia="zh-CN"/>
        </w:rPr>
        <w:t>人民政府督促相关区县按规定</w:t>
      </w:r>
      <w:r>
        <w:rPr>
          <w:rFonts w:eastAsia="仿宋_GB2312"/>
          <w:color w:val="auto"/>
          <w:sz w:val="32"/>
          <w:szCs w:val="32"/>
          <w:highlight w:val="none"/>
        </w:rPr>
        <w:t>发布</w:t>
      </w:r>
      <w:r>
        <w:rPr>
          <w:rFonts w:hint="default" w:eastAsia="仿宋_GB2312"/>
          <w:color w:val="auto"/>
          <w:sz w:val="32"/>
          <w:szCs w:val="32"/>
          <w:highlight w:val="none"/>
          <w:lang w:eastAsia="zh-CN"/>
        </w:rPr>
        <w:t>征收土地</w:t>
      </w:r>
      <w:r>
        <w:rPr>
          <w:rFonts w:eastAsia="仿宋_GB2312"/>
          <w:color w:val="auto"/>
          <w:sz w:val="32"/>
          <w:szCs w:val="32"/>
          <w:highlight w:val="none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五、使用土地涉及有关税费的收缴或调整，请按有关规定办理。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六</w:t>
      </w:r>
      <w:r>
        <w:rPr>
          <w:rFonts w:eastAsia="仿宋_GB2312"/>
          <w:color w:val="auto"/>
          <w:sz w:val="32"/>
          <w:szCs w:val="32"/>
        </w:rPr>
        <w:t>、</w:t>
      </w:r>
      <w:r>
        <w:rPr>
          <w:rFonts w:eastAsia="仿宋_GB2312"/>
          <w:color w:val="auto"/>
          <w:sz w:val="32"/>
          <w:szCs w:val="32"/>
          <w:highlight w:val="none"/>
          <w:u w:val="none"/>
        </w:rPr>
        <w:t>征地批后实施情况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和具体项目</w:t>
      </w:r>
      <w:r>
        <w:rPr>
          <w:rFonts w:ascii="Times New Roman" w:hAnsi="Times New Roman" w:eastAsia="仿宋_GB2312" w:cs="Times New Roman"/>
          <w:sz w:val="32"/>
          <w:szCs w:val="32"/>
        </w:rPr>
        <w:t>供地情况须按</w:t>
      </w:r>
      <w:r>
        <w:rPr>
          <w:rFonts w:eastAsia="仿宋_GB2312"/>
          <w:sz w:val="32"/>
          <w:szCs w:val="32"/>
        </w:rPr>
        <w:t>规定报备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z w:val="32"/>
          <w:szCs w:val="32"/>
        </w:rPr>
        <w:t>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公开方式：</w:t>
      </w:r>
      <w:r>
        <w:rPr>
          <w:rFonts w:hint="eastAsia" w:eastAsia="仿宋_GB2312"/>
          <w:sz w:val="32"/>
          <w:szCs w:val="32"/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抄送：</w:t>
      </w:r>
      <w:r>
        <w:rPr>
          <w:rFonts w:hint="eastAsia" w:eastAsia="仿宋_GB2312"/>
          <w:sz w:val="32"/>
          <w:szCs w:val="32"/>
        </w:rPr>
        <w:t>国家自然资</w:t>
      </w:r>
      <w:r>
        <w:rPr>
          <w:rFonts w:hint="eastAsia" w:eastAsia="仿宋_GB2312"/>
          <w:color w:val="auto"/>
          <w:sz w:val="32"/>
          <w:szCs w:val="32"/>
        </w:rPr>
        <w:t>源督察广州局，财政部广东</w:t>
      </w:r>
      <w:r>
        <w:rPr>
          <w:rFonts w:hint="eastAsia" w:eastAsia="仿宋_GB2312"/>
          <w:color w:val="auto"/>
          <w:sz w:val="32"/>
          <w:szCs w:val="32"/>
          <w:lang w:eastAsia="zh-CN"/>
        </w:rPr>
        <w:t>监管局</w:t>
      </w:r>
      <w:r>
        <w:rPr>
          <w:rFonts w:hint="eastAsia" w:eastAsia="仿宋_GB2312"/>
          <w:color w:val="auto"/>
          <w:sz w:val="32"/>
          <w:szCs w:val="32"/>
        </w:rPr>
        <w:t>，省财政厅、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省人力资源和社会保障厅、</w:t>
      </w:r>
      <w:r>
        <w:rPr>
          <w:rFonts w:hint="eastAsia" w:eastAsia="仿宋_GB2312"/>
          <w:color w:val="auto"/>
          <w:sz w:val="32"/>
          <w:szCs w:val="32"/>
        </w:rPr>
        <w:t>省自然资源厅、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省农业农村厅、</w:t>
      </w:r>
      <w:r>
        <w:rPr>
          <w:rFonts w:hint="eastAsia" w:eastAsia="仿宋_GB2312"/>
          <w:color w:val="auto"/>
          <w:sz w:val="32"/>
          <w:szCs w:val="32"/>
        </w:rPr>
        <w:t>国家税务总局广东省税务局。</w:t>
      </w:r>
      <w:bookmarkStart w:id="0" w:name="_GoBack"/>
      <w:bookmarkEnd w:id="0"/>
    </w:p>
    <w:p>
      <w:pPr>
        <w:spacing w:line="600" w:lineRule="exact"/>
        <w:ind w:left="1207" w:leftChars="586" w:firstLine="3893" w:firstLineChars="1232"/>
      </w:pP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hint="eastAsia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MTBhNmI1ZWVkMWVhNmI1ZjIwY2Y2OThjZmUzNjQifQ=="/>
  </w:docVars>
  <w:rsids>
    <w:rsidRoot w:val="00000000"/>
    <w:rsid w:val="291749B1"/>
    <w:rsid w:val="294417A2"/>
    <w:rsid w:val="306E63D6"/>
    <w:rsid w:val="31240FEF"/>
    <w:rsid w:val="40CF5AE8"/>
    <w:rsid w:val="45EE7269"/>
    <w:rsid w:val="49F8027B"/>
    <w:rsid w:val="4FDB788C"/>
    <w:rsid w:val="518131A2"/>
    <w:rsid w:val="62EE7BF8"/>
    <w:rsid w:val="6CFD6342"/>
    <w:rsid w:val="738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717</Words>
  <Characters>769</Characters>
  <Lines>0</Lines>
  <Paragraphs>0</Paragraphs>
  <TotalTime>2</TotalTime>
  <ScaleCrop>false</ScaleCrop>
  <LinksUpToDate>false</LinksUpToDate>
  <CharactersWithSpaces>861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2022-06-13T06:50:41Z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D5D8A26F927A4BB7901CE64D86B0DF2F</vt:lpwstr>
  </property>
</Properties>
</file>