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w:t>
      </w:r>
      <w:r>
        <w:rPr>
          <w:rFonts w:hint="default" w:ascii="Times New Roman" w:hAnsi="Times New Roman" w:eastAsia="方正小标宋简体" w:cs="Times New Roman"/>
          <w:color w:val="000000"/>
          <w:sz w:val="44"/>
          <w:szCs w:val="44"/>
          <w:lang w:val="en-US" w:eastAsia="zh-CN"/>
        </w:rPr>
        <w:t>年度</w:t>
      </w:r>
      <w:r>
        <w:rPr>
          <w:rFonts w:hint="eastAsia" w:ascii="Times New Roman" w:hAnsi="Times New Roman" w:eastAsia="方正小标宋简体" w:cs="Times New Roman"/>
          <w:color w:val="000000"/>
          <w:sz w:val="44"/>
          <w:szCs w:val="44"/>
          <w:lang w:val="en-US" w:eastAsia="zh-CN"/>
        </w:rPr>
        <w:t>第六批次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u w:val="single"/>
        </w:rPr>
      </w:pPr>
      <w:r>
        <w:rPr>
          <w:rFonts w:hint="eastAsia" w:ascii="仿宋_GB2312" w:hAnsi="仿宋_GB2312" w:eastAsia="仿宋_GB2312" w:cs="仿宋_GB2312"/>
          <w:kern w:val="0"/>
          <w:sz w:val="32"/>
          <w:szCs w:val="32"/>
          <w:shd w:val="clear" w:color="auto" w:fill="FFFFFF"/>
          <w:lang w:bidi="ar"/>
        </w:rPr>
        <w:t>根</w:t>
      </w:r>
      <w:r>
        <w:rPr>
          <w:rFonts w:hint="default" w:ascii="Times New Roman" w:hAnsi="Times New Roman" w:eastAsia="仿宋_GB2312" w:cs="Times New Roman"/>
          <w:kern w:val="0"/>
          <w:sz w:val="32"/>
          <w:szCs w:val="32"/>
          <w:shd w:val="clear" w:color="auto" w:fill="FFFFFF"/>
          <w:lang w:bidi="ar"/>
        </w:rPr>
        <w:t>据</w:t>
      </w:r>
      <w:r>
        <w:rPr>
          <w:rFonts w:hint="default" w:ascii="Times New Roman" w:hAnsi="Times New Roman" w:eastAsia="仿宋_GB2312" w:cs="Times New Roman"/>
          <w:sz w:val="32"/>
          <w:szCs w:val="32"/>
        </w:rPr>
        <w:t>《中华人民共和国土地管理法》、</w:t>
      </w:r>
      <w:r>
        <w:rPr>
          <w:rFonts w:hint="default" w:ascii="Times New Roman" w:hAnsi="Times New Roman" w:eastAsia="仿宋_GB2312" w:cs="Times New Roman"/>
          <w:kern w:val="0"/>
          <w:sz w:val="32"/>
          <w:szCs w:val="32"/>
          <w:shd w:val="clear" w:color="auto" w:fill="FFFFFF"/>
          <w:lang w:bidi="ar"/>
        </w:rPr>
        <w:t>《关于切实做好被征地农民社会保障工作有关问题的通知》（劳社部发〔2007〕14号，下称劳社部发〔20</w:t>
      </w:r>
      <w:bookmarkStart w:id="0" w:name="_GoBack"/>
      <w:bookmarkEnd w:id="0"/>
      <w:r>
        <w:rPr>
          <w:rFonts w:hint="default" w:ascii="Times New Roman" w:hAnsi="Times New Roman" w:eastAsia="仿宋_GB2312" w:cs="Times New Roman"/>
          <w:kern w:val="0"/>
          <w:sz w:val="32"/>
          <w:szCs w:val="32"/>
          <w:shd w:val="clear" w:color="auto" w:fill="FFFFFF"/>
          <w:lang w:bidi="ar"/>
        </w:rPr>
        <w:t>07〕14号）、《广东省人民政府办公厅转发省人力资源社会保障厅关于进一步完善我省被征地农民养老保障政策意见的通知》（粤府办〔2021〕22号）第八条、原《转发省人力资源社会保障厅关于进一步做好我省被征地农民养老保障工作意见的通知》（粤府办〔2010〕41号）、《广州市人民政府办公厅关于印发广州市城乡居民养老保险实施办法的通知》（穗府办规﹝2021﹞8</w:t>
      </w:r>
      <w:r>
        <w:rPr>
          <w:rFonts w:hint="default" w:ascii="Times New Roman" w:hAnsi="Times New Roman" w:eastAsia="仿宋_GB2312" w:cs="Times New Roman"/>
          <w:sz w:val="32"/>
          <w:szCs w:val="32"/>
        </w:rPr>
        <w:t>号）第九条</w:t>
      </w:r>
      <w:r>
        <w:rPr>
          <w:rFonts w:hint="default" w:ascii="Times New Roman" w:hAnsi="Times New Roman" w:eastAsia="仿宋_GB2312" w:cs="Times New Roman"/>
          <w:color w:val="auto"/>
          <w:kern w:val="0"/>
          <w:sz w:val="32"/>
          <w:szCs w:val="32"/>
          <w:shd w:val="clear" w:color="auto" w:fill="FFFFFF"/>
          <w:lang w:bidi="ar"/>
        </w:rPr>
        <w:t>等</w:t>
      </w:r>
      <w:r>
        <w:rPr>
          <w:rFonts w:hint="default" w:ascii="Times New Roman" w:hAnsi="Times New Roman" w:eastAsia="仿宋_GB2312" w:cs="Times New Roman"/>
          <w:kern w:val="0"/>
          <w:sz w:val="32"/>
          <w:szCs w:val="32"/>
          <w:shd w:val="clear" w:color="auto" w:fill="FFFFFF"/>
          <w:lang w:bidi="ar"/>
        </w:rPr>
        <w:t>有关规定</w:t>
      </w:r>
      <w:r>
        <w:rPr>
          <w:rFonts w:hint="default" w:ascii="Times New Roman" w:hAnsi="Times New Roman" w:eastAsia="仿宋_GB2312"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val="en-US" w:eastAsia="zh-CN"/>
        </w:rPr>
        <w:t>2022年度第六批次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）2022年度第六批次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r>
        <w:rPr>
          <w:rFonts w:hint="default" w:ascii="Times New Roman" w:hAnsi="Times New Roman" w:eastAsia="仿宋_GB2312" w:cs="Times New Roman"/>
          <w:sz w:val="32"/>
          <w:szCs w:val="32"/>
        </w:rPr>
        <w:t>依据市规划和自然资源局</w:t>
      </w:r>
      <w:r>
        <w:rPr>
          <w:rFonts w:hint="default" w:ascii="Times New Roman" w:hAnsi="Times New Roman" w:eastAsia="仿宋_GB2312" w:cs="Times New Roman"/>
          <w:sz w:val="32"/>
          <w:szCs w:val="32"/>
          <w:lang w:eastAsia="zh-CN"/>
        </w:rPr>
        <w:t>黄埔</w:t>
      </w:r>
      <w:r>
        <w:rPr>
          <w:rFonts w:hint="default" w:ascii="Times New Roman" w:hAnsi="Times New Roman" w:eastAsia="仿宋_GB2312" w:cs="Times New Roman"/>
          <w:sz w:val="32"/>
          <w:szCs w:val="32"/>
        </w:rPr>
        <w:t>区分局</w:t>
      </w:r>
      <w:r>
        <w:rPr>
          <w:rFonts w:hint="default" w:ascii="Times New Roman" w:hAnsi="Times New Roman" w:eastAsia="仿宋_GB2312" w:cs="Times New Roman"/>
          <w:sz w:val="32"/>
          <w:szCs w:val="32"/>
          <w:lang w:eastAsia="zh-CN"/>
        </w:rPr>
        <w:t>、广州开发区规划和自然资源局</w:t>
      </w:r>
      <w:r>
        <w:rPr>
          <w:rFonts w:hint="default" w:ascii="Times New Roman" w:hAnsi="Times New Roman" w:eastAsia="仿宋_GB2312" w:cs="Times New Roman"/>
          <w:sz w:val="32"/>
          <w:szCs w:val="32"/>
        </w:rPr>
        <w:t>提供情况，该项目征地双方于</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前</w:t>
      </w:r>
      <w:r>
        <w:rPr>
          <w:rFonts w:hint="default" w:ascii="Times New Roman" w:hAnsi="Times New Roman" w:eastAsia="仿宋_GB2312" w:cs="Times New Roman"/>
          <w:sz w:val="32"/>
          <w:szCs w:val="32"/>
        </w:rPr>
        <w:t>全部完成征地补偿安置协议签订，按</w:t>
      </w:r>
      <w:r>
        <w:rPr>
          <w:rFonts w:hint="default" w:ascii="Times New Roman" w:hAnsi="Times New Roman" w:eastAsia="仿宋_GB2312" w:cs="Times New Roman"/>
          <w:kern w:val="0"/>
          <w:sz w:val="32"/>
          <w:szCs w:val="32"/>
          <w:shd w:val="clear" w:color="auto" w:fill="FFFFFF"/>
          <w:lang w:bidi="ar"/>
        </w:rPr>
        <w:t>粤府办〔2021〕22号文第八点规定执行原征地社保政策</w:t>
      </w:r>
      <w:r>
        <w:rPr>
          <w:rFonts w:hint="default" w:ascii="Times New Roman" w:hAnsi="Times New Roman" w:eastAsia="仿宋_GB2312" w:cs="Times New Roman"/>
          <w:sz w:val="32"/>
          <w:szCs w:val="32"/>
        </w:rPr>
        <w:t>。</w:t>
      </w:r>
    </w:p>
    <w:p>
      <w:pPr>
        <w:ind w:firstLine="640" w:firstLineChars="200"/>
        <w:jc w:val="left"/>
        <w:rPr>
          <w:rFonts w:hint="default" w:ascii="Times New Roman" w:hAnsi="Times New Roman" w:cs="Times New Roman"/>
          <w:color w:val="FF0000"/>
        </w:rPr>
      </w:pPr>
      <w:r>
        <w:rPr>
          <w:rFonts w:hint="default" w:ascii="Times New Roman" w:hAnsi="Times New Roman" w:eastAsia="黑体" w:cs="Times New Roman"/>
          <w:kern w:val="0"/>
          <w:sz w:val="32"/>
          <w:szCs w:val="32"/>
        </w:rPr>
        <w:t>二、</w:t>
      </w:r>
      <w:r>
        <w:rPr>
          <w:rFonts w:hint="default" w:ascii="Times New Roman" w:hAnsi="Times New Roman"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val="en-US" w:eastAsia="zh-CN"/>
        </w:rPr>
        <w:t>2022年度第六批次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default" w:ascii="Times New Roman"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default" w:ascii="Times New Roman" w:hAnsi="Times New Roman" w:eastAsia="仿宋_GB2312" w:cs="Times New Roman"/>
          <w:color w:val="000000"/>
          <w:sz w:val="32"/>
          <w:szCs w:val="32"/>
          <w:lang w:val="en-US" w:eastAsia="zh-CN" w:bidi="ar"/>
        </w:rPr>
        <w:t>龙湖街大涵村面积共219.3900亩（其中：19.9440亩属于被征地单位留用地）。</w:t>
      </w:r>
      <w:r>
        <w:rPr>
          <w:rFonts w:hint="default" w:ascii="Times New Roman" w:hAnsi="Times New Roman" w:eastAsia="仿宋_GB2312" w:cs="Times New Roman"/>
          <w:color w:val="000000"/>
          <w:kern w:val="0"/>
          <w:sz w:val="32"/>
          <w:szCs w:val="32"/>
        </w:rPr>
        <w:t>该项目</w:t>
      </w:r>
      <w:r>
        <w:rPr>
          <w:rFonts w:hint="default" w:ascii="Times New Roman" w:hAnsi="Times New Roman" w:eastAsia="仿宋_GB2312" w:cs="Times New Roman"/>
          <w:color w:val="000000"/>
          <w:sz w:val="32"/>
          <w:szCs w:val="32"/>
        </w:rPr>
        <w:t>涉及的被征地</w:t>
      </w:r>
      <w:r>
        <w:rPr>
          <w:rFonts w:hint="default" w:ascii="Times New Roman" w:hAnsi="Times New Roman" w:eastAsia="仿宋_GB2312" w:cs="Times New Roman"/>
          <w:color w:val="000000"/>
          <w:kern w:val="0"/>
          <w:sz w:val="32"/>
          <w:szCs w:val="32"/>
        </w:rPr>
        <w:t>单位留用地按规定不计提征地社保费，其余被征土地涉</w:t>
      </w:r>
      <w:r>
        <w:rPr>
          <w:rFonts w:hint="default" w:ascii="Times New Roman" w:hAnsi="Times New Roman" w:eastAsia="仿宋_GB2312" w:cs="Times New Roman"/>
          <w:color w:val="000000"/>
          <w:sz w:val="32"/>
          <w:szCs w:val="32"/>
        </w:rPr>
        <w:t>及应纳入养老保障范围的被</w:t>
      </w:r>
      <w:r>
        <w:rPr>
          <w:rFonts w:hint="default" w:ascii="Times New Roman" w:hAnsi="Times New Roman" w:eastAsia="仿宋_GB2312" w:cs="Times New Roman"/>
          <w:color w:val="000000"/>
          <w:kern w:val="0"/>
          <w:sz w:val="32"/>
          <w:szCs w:val="32"/>
        </w:rPr>
        <w:t>征地农民共</w:t>
      </w:r>
      <w:r>
        <w:rPr>
          <w:rFonts w:hint="default" w:ascii="Times New Roman" w:hAnsi="Times New Roman" w:eastAsia="仿宋_GB2312" w:cs="Times New Roman"/>
          <w:kern w:val="0"/>
          <w:sz w:val="32"/>
          <w:szCs w:val="32"/>
          <w:shd w:val="clear" w:color="auto" w:fill="FFFFFF"/>
          <w:lang w:val="en-US" w:eastAsia="zh-CN" w:bidi="ar"/>
        </w:rPr>
        <w:t>49</w:t>
      </w:r>
      <w:r>
        <w:rPr>
          <w:rFonts w:hint="default" w:ascii="Times New Roman" w:hAnsi="Times New Roman" w:eastAsia="仿宋_GB2312" w:cs="Times New Roman"/>
          <w:color w:val="000000"/>
          <w:kern w:val="0"/>
          <w:sz w:val="32"/>
          <w:szCs w:val="32"/>
        </w:rPr>
        <w:t>人。具体名单</w:t>
      </w:r>
      <w:r>
        <w:rPr>
          <w:rFonts w:hint="default" w:ascii="Times New Roman" w:hAnsi="Times New Roman" w:eastAsia="仿宋_GB2312" w:cs="Times New Roman"/>
          <w:color w:val="000000"/>
          <w:sz w:val="32"/>
          <w:szCs w:val="32"/>
        </w:rPr>
        <w:t>经</w:t>
      </w:r>
      <w:r>
        <w:rPr>
          <w:rFonts w:hint="default" w:ascii="Times New Roman" w:hAnsi="Times New Roman" w:eastAsia="仿宋_GB2312" w:cs="Times New Roman"/>
          <w:sz w:val="32"/>
          <w:szCs w:val="32"/>
        </w:rPr>
        <w:t>村民（股东）大会或村民（股东）代表大会</w:t>
      </w:r>
      <w:r>
        <w:rPr>
          <w:rFonts w:hint="default" w:ascii="Times New Roman" w:hAnsi="Times New Roman" w:eastAsia="仿宋_GB2312" w:cs="Times New Roman"/>
          <w:color w:val="000000"/>
          <w:sz w:val="32"/>
          <w:szCs w:val="32"/>
        </w:rPr>
        <w:t>讨论，由村委会报镇人民政府核准、公示后确定，</w:t>
      </w:r>
      <w:r>
        <w:rPr>
          <w:rFonts w:hint="default" w:ascii="Times New Roman" w:hAnsi="Times New Roman" w:eastAsia="仿宋_GB2312" w:cs="Times New Roman"/>
          <w:sz w:val="32"/>
          <w:szCs w:val="32"/>
        </w:rPr>
        <w:t>送所属社会保险经办部门办理相关社保手续。</w:t>
      </w:r>
    </w:p>
    <w:p>
      <w:pPr>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shd w:val="clear" w:color="auto" w:fill="FFFFFF"/>
          <w:lang w:val="en-US" w:eastAsia="zh-CN"/>
        </w:rPr>
        <w:t>三、</w:t>
      </w:r>
      <w:r>
        <w:rPr>
          <w:rFonts w:hint="default" w:ascii="Times New Roman" w:hAnsi="Times New Roman"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征地主体</w:t>
      </w:r>
      <w:r>
        <w:rPr>
          <w:rFonts w:hint="default" w:ascii="Times New Roman" w:hAnsi="Times New Roman" w:eastAsia="仿宋_GB2312" w:cs="Times New Roman"/>
          <w:kern w:val="0"/>
          <w:sz w:val="32"/>
          <w:szCs w:val="32"/>
          <w:shd w:val="clear" w:color="auto" w:fill="FFFFFF"/>
          <w:lang w:bidi="ar"/>
        </w:rPr>
        <w:t>（用地单位）</w:t>
      </w:r>
      <w:r>
        <w:rPr>
          <w:rFonts w:hint="default" w:ascii="Times New Roman" w:hAnsi="Times New Roman" w:eastAsia="仿宋_GB2312" w:cs="Times New Roman"/>
          <w:color w:val="auto"/>
          <w:kern w:val="0"/>
          <w:sz w:val="32"/>
          <w:szCs w:val="32"/>
          <w:shd w:val="clear" w:color="auto" w:fill="FFFFFF"/>
          <w:lang w:bidi="ar"/>
        </w:rPr>
        <w:t>按每人16200元的标准</w:t>
      </w:r>
      <w:r>
        <w:rPr>
          <w:rFonts w:hint="default" w:ascii="Times New Roman" w:hAnsi="Times New Roman" w:eastAsia="仿宋_GB2312" w:cs="Times New Roman"/>
          <w:kern w:val="0"/>
          <w:sz w:val="32"/>
          <w:szCs w:val="32"/>
          <w:shd w:val="clear" w:color="auto" w:fill="FFFFFF"/>
          <w:lang w:bidi="ar"/>
        </w:rPr>
        <w:t>和</w:t>
      </w:r>
      <w:r>
        <w:rPr>
          <w:rFonts w:hint="default" w:ascii="Times New Roman" w:hAnsi="Times New Roman" w:eastAsia="仿宋_GB2312" w:cs="Times New Roman"/>
          <w:color w:val="000000"/>
          <w:sz w:val="32"/>
          <w:szCs w:val="32"/>
        </w:rPr>
        <w:t>应纳入养老保障范围的被</w:t>
      </w:r>
      <w:r>
        <w:rPr>
          <w:rFonts w:hint="default" w:ascii="Times New Roman" w:hAnsi="Times New Roman" w:eastAsia="仿宋_GB2312" w:cs="Times New Roman"/>
          <w:color w:val="000000"/>
          <w:kern w:val="0"/>
          <w:sz w:val="32"/>
          <w:szCs w:val="32"/>
        </w:rPr>
        <w:t>征地农民人数，将</w:t>
      </w:r>
      <w:r>
        <w:rPr>
          <w:rFonts w:hint="default" w:ascii="Times New Roman" w:hAnsi="Times New Roman" w:eastAsia="仿宋_GB2312" w:cs="Times New Roman"/>
          <w:color w:val="auto"/>
          <w:kern w:val="0"/>
          <w:sz w:val="32"/>
          <w:szCs w:val="32"/>
          <w:shd w:val="clear" w:color="auto" w:fill="FFFFFF"/>
          <w:lang w:bidi="ar"/>
        </w:rPr>
        <w:t>所需资金共</w:t>
      </w:r>
      <w:r>
        <w:rPr>
          <w:rFonts w:hint="default" w:ascii="Times New Roman" w:hAnsi="Times New Roman" w:eastAsia="仿宋_GB2312" w:cs="Times New Roman"/>
          <w:color w:val="auto"/>
          <w:kern w:val="0"/>
          <w:sz w:val="32"/>
          <w:szCs w:val="32"/>
          <w:shd w:val="clear" w:color="auto" w:fill="FFFFFF"/>
          <w:lang w:val="en-US" w:eastAsia="zh-CN" w:bidi="ar"/>
        </w:rPr>
        <w:t>79.38</w:t>
      </w:r>
      <w:r>
        <w:rPr>
          <w:rFonts w:hint="default" w:ascii="Times New Roman" w:hAnsi="Times New Roman" w:eastAsia="仿宋_GB2312" w:cs="Times New Roman"/>
          <w:color w:val="auto"/>
          <w:kern w:val="0"/>
          <w:sz w:val="32"/>
          <w:szCs w:val="32"/>
          <w:shd w:val="clear" w:color="auto" w:fill="FFFFFF"/>
          <w:lang w:bidi="ar"/>
        </w:rPr>
        <w:t>万元一次性预存入</w:t>
      </w:r>
      <w:r>
        <w:rPr>
          <w:rFonts w:hint="default" w:ascii="Times New Roman" w:hAnsi="Times New Roman" w:eastAsia="仿宋_GB2312" w:cs="Times New Roman"/>
          <w:sz w:val="32"/>
          <w:szCs w:val="32"/>
          <w:lang w:eastAsia="zh-CN"/>
        </w:rPr>
        <w:t>黄埔</w:t>
      </w:r>
      <w:r>
        <w:rPr>
          <w:rFonts w:hint="default" w:ascii="Times New Roman" w:hAnsi="Times New Roman" w:eastAsia="仿宋_GB2312" w:cs="Times New Roman"/>
          <w:sz w:val="32"/>
          <w:szCs w:val="32"/>
        </w:rPr>
        <w:t>区人力资源社会保障部门开设的</w:t>
      </w:r>
      <w:r>
        <w:rPr>
          <w:rFonts w:hint="default" w:ascii="Times New Roman" w:hAnsi="Times New Roman" w:eastAsia="仿宋_GB2312" w:cs="Times New Roman"/>
          <w:color w:val="auto"/>
          <w:kern w:val="0"/>
          <w:sz w:val="32"/>
          <w:szCs w:val="32"/>
          <w:shd w:val="clear" w:color="auto" w:fill="FFFFFF"/>
          <w:lang w:bidi="ar"/>
        </w:rPr>
        <w:t>“收</w:t>
      </w:r>
      <w:r>
        <w:rPr>
          <w:rFonts w:hint="eastAsia" w:ascii="仿宋_GB2312" w:hAnsi="仿宋_GB2312" w:eastAsia="仿宋_GB2312" w:cs="仿宋_GB2312"/>
          <w:color w:val="auto"/>
          <w:kern w:val="0"/>
          <w:sz w:val="32"/>
          <w:szCs w:val="32"/>
          <w:shd w:val="clear" w:color="auto" w:fill="FFFFFF"/>
          <w:lang w:bidi="ar"/>
        </w:rPr>
        <w:t>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p>
    <w:p>
      <w:pPr>
        <w:shd w:val="clear" w:color="auto" w:fill="FFFFFF"/>
        <w:spacing w:line="540" w:lineRule="exact"/>
        <w:rPr>
          <w:rFonts w:hint="eastAsia" w:ascii="Times New Roman" w:hAnsi="Times New Roman" w:eastAsia="仿宋_GB2312" w:cs="Times New Roman"/>
          <w:sz w:val="32"/>
          <w:szCs w:val="32"/>
          <w:lang w:val="en-US" w:eastAsia="zh-CN"/>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Times New Roman" w:hAnsi="Times New Roman" w:eastAsia="仿宋_GB2312" w:cs="Times New Roman"/>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84" w:hRule="atLeast"/>
          <w:jc w:val="center"/>
        </w:trPr>
        <w:tc>
          <w:tcPr>
            <w:tcW w:w="498" w:type="dxa"/>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龙湖</w:t>
            </w:r>
            <w:r>
              <w:rPr>
                <w:rFonts w:hint="default" w:ascii="Times New Roman" w:hAnsi="Times New Roman" w:eastAsia="仿宋_GB2312" w:cs="Times New Roman"/>
                <w:sz w:val="24"/>
              </w:rPr>
              <w:t>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olor w:val="auto"/>
                <w:kern w:val="0"/>
                <w:sz w:val="24"/>
                <w:szCs w:val="24"/>
                <w:u w:val="none"/>
                <w:lang w:val="en-US" w:eastAsia="zh-CN" w:bidi="ar"/>
              </w:rPr>
              <w:t>大涵村经济联合社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auto"/>
                <w:sz w:val="22"/>
                <w:szCs w:val="22"/>
                <w:lang w:val="en-US"/>
              </w:rPr>
            </w:pPr>
            <w:r>
              <w:rPr>
                <w:rFonts w:hint="eastAsia" w:ascii="Times New Roman" w:hAnsi="Times New Roman" w:cs="Times New Roman"/>
                <w:color w:val="auto"/>
                <w:sz w:val="22"/>
                <w:szCs w:val="22"/>
                <w:lang w:val="en-US" w:eastAsia="zh-CN"/>
              </w:rPr>
              <w:t>219.3900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auto"/>
                <w:sz w:val="22"/>
                <w:szCs w:val="22"/>
                <w:lang w:val="en-US"/>
              </w:rPr>
            </w:pPr>
            <w:r>
              <w:rPr>
                <w:rFonts w:hint="eastAsia" w:ascii="Times New Roman" w:hAnsi="Times New Roman" w:cs="Times New Roman"/>
                <w:color w:val="auto"/>
                <w:sz w:val="22"/>
                <w:szCs w:val="22"/>
                <w:lang w:val="en-US" w:eastAsia="zh-CN"/>
              </w:rPr>
              <w:t>208.0035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9.4395</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1.9470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19.9440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49</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color w:val="0000FF"/>
                <w:sz w:val="22"/>
                <w:szCs w:val="22"/>
                <w:lang w:val="en-US" w:eastAsia="zh-CN"/>
              </w:rPr>
            </w:pPr>
            <w:r>
              <w:rPr>
                <w:rFonts w:hint="eastAsia" w:ascii="Times New Roman" w:hAnsi="Times New Roman" w:cs="Times New Roman"/>
                <w:color w:val="auto"/>
                <w:sz w:val="22"/>
                <w:szCs w:val="22"/>
                <w:lang w:val="en-US" w:eastAsia="zh-CN"/>
              </w:rPr>
              <w:t>79.38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color w:val="auto"/>
                <w:sz w:val="22"/>
                <w:szCs w:val="22"/>
              </w:rPr>
            </w:pPr>
            <w:r>
              <w:rPr>
                <w:rFonts w:hint="eastAsia" w:ascii="Times New Roman" w:hAnsi="Times New Roman" w:cs="Times New Roman"/>
                <w:color w:val="auto"/>
                <w:sz w:val="22"/>
                <w:szCs w:val="22"/>
                <w:lang w:val="en-US" w:eastAsia="zh-CN"/>
              </w:rPr>
              <w:t>219.3900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color w:val="auto"/>
                <w:sz w:val="22"/>
                <w:szCs w:val="22"/>
              </w:rPr>
            </w:pPr>
            <w:r>
              <w:rPr>
                <w:rFonts w:hint="eastAsia" w:ascii="Times New Roman" w:hAnsi="Times New Roman" w:cs="Times New Roman"/>
                <w:color w:val="auto"/>
                <w:sz w:val="22"/>
                <w:szCs w:val="22"/>
                <w:lang w:val="en-US" w:eastAsia="zh-CN"/>
              </w:rPr>
              <w:t>208.0035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color w:val="auto"/>
                <w:sz w:val="22"/>
                <w:szCs w:val="22"/>
              </w:rPr>
            </w:pPr>
            <w:r>
              <w:rPr>
                <w:rFonts w:hint="eastAsia" w:ascii="Times New Roman" w:hAnsi="Times New Roman" w:cs="Times New Roman"/>
                <w:color w:val="auto"/>
                <w:sz w:val="22"/>
                <w:szCs w:val="22"/>
                <w:lang w:val="en-US" w:eastAsia="zh-CN"/>
              </w:rPr>
              <w:t>9.4395</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color w:val="auto"/>
                <w:sz w:val="22"/>
                <w:szCs w:val="22"/>
              </w:rPr>
            </w:pPr>
            <w:r>
              <w:rPr>
                <w:rFonts w:hint="eastAsia" w:ascii="Times New Roman" w:hAnsi="Times New Roman" w:cs="Times New Roman"/>
                <w:color w:val="auto"/>
                <w:sz w:val="22"/>
                <w:szCs w:val="22"/>
                <w:lang w:val="en-US" w:eastAsia="zh-CN"/>
              </w:rPr>
              <w:t>1.9470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color w:val="auto"/>
                <w:sz w:val="22"/>
                <w:szCs w:val="22"/>
              </w:rPr>
            </w:pPr>
            <w:r>
              <w:rPr>
                <w:rFonts w:hint="eastAsia" w:ascii="Times New Roman" w:hAnsi="Times New Roman" w:cs="Times New Roman"/>
                <w:color w:val="auto"/>
                <w:sz w:val="22"/>
                <w:szCs w:val="22"/>
                <w:lang w:val="en-US" w:eastAsia="zh-CN"/>
              </w:rPr>
              <w:t>19.9440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2"/>
                <w:szCs w:val="22"/>
                <w:lang w:val="en-US" w:eastAsia="zh-CN" w:bidi="ar-SA"/>
              </w:rPr>
            </w:pPr>
            <w:r>
              <w:rPr>
                <w:rFonts w:hint="eastAsia" w:ascii="Times New Roman" w:hAnsi="Times New Roman" w:cs="Times New Roman"/>
                <w:color w:val="auto"/>
                <w:sz w:val="22"/>
                <w:szCs w:val="22"/>
                <w:lang w:val="en-US" w:eastAsia="zh-CN"/>
              </w:rPr>
              <w:t>49</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FF"/>
                <w:kern w:val="2"/>
                <w:sz w:val="22"/>
                <w:szCs w:val="22"/>
                <w:lang w:val="en-US" w:eastAsia="zh-CN" w:bidi="ar-SA"/>
              </w:rPr>
            </w:pPr>
            <w:r>
              <w:rPr>
                <w:rFonts w:hint="eastAsia" w:ascii="Times New Roman" w:hAnsi="Times New Roman" w:cs="Times New Roman"/>
                <w:color w:val="auto"/>
                <w:sz w:val="22"/>
                <w:szCs w:val="22"/>
                <w:lang w:val="en-US" w:eastAsia="zh-CN"/>
              </w:rPr>
              <w:t>79.38</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B1D7CBA"/>
    <w:rsid w:val="0B4B15E0"/>
    <w:rsid w:val="19F11118"/>
    <w:rsid w:val="1C680A15"/>
    <w:rsid w:val="1F83666D"/>
    <w:rsid w:val="322042FF"/>
    <w:rsid w:val="4F5C4B20"/>
    <w:rsid w:val="530D163C"/>
    <w:rsid w:val="56032C47"/>
    <w:rsid w:val="618E34A6"/>
    <w:rsid w:val="67825306"/>
    <w:rsid w:val="722446C4"/>
    <w:rsid w:val="743A198E"/>
    <w:rsid w:val="7B55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陈颖子</cp:lastModifiedBy>
  <dcterms:modified xsi:type="dcterms:W3CDTF">2022-05-25T02:54:48Z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