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60"/>
          <w:tab w:val="left" w:pos="2340"/>
          <w:tab w:val="left" w:pos="6480"/>
        </w:tabs>
        <w:spacing w:line="579" w:lineRule="exact"/>
        <w:ind w:right="23" w:rightChars="11"/>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附件1：</w:t>
      </w:r>
    </w:p>
    <w:p>
      <w:pPr>
        <w:adjustRightInd w:val="0"/>
        <w:snapToGrid w:val="0"/>
        <w:jc w:val="center"/>
        <w:rPr>
          <w:rFonts w:hint="default" w:ascii="Times New Roman" w:hAnsi="Times New Roman" w:eastAsia="方正小标宋简体" w:cs="Times New Roman"/>
          <w:color w:val="000000"/>
          <w:sz w:val="44"/>
          <w:szCs w:val="44"/>
        </w:rPr>
      </w:pP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rPr>
        <w:t>关于</w:t>
      </w:r>
      <w:r>
        <w:rPr>
          <w:rFonts w:hint="default" w:ascii="Times New Roman" w:hAnsi="Times New Roman" w:eastAsia="方正小标宋简体" w:cs="Times New Roman"/>
          <w:color w:val="000000"/>
          <w:sz w:val="44"/>
          <w:szCs w:val="44"/>
          <w:lang w:val="en-US" w:eastAsia="zh-CN"/>
        </w:rPr>
        <w:t>广州市黄埔区（中新广州知识城）</w:t>
      </w: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2022年度第一批次</w:t>
      </w:r>
      <w:r>
        <w:rPr>
          <w:rFonts w:hint="default" w:ascii="Times New Roman" w:hAnsi="Times New Roman" w:eastAsia="方正小标宋简体" w:cs="Times New Roman"/>
          <w:color w:val="000000"/>
          <w:sz w:val="44"/>
          <w:szCs w:val="44"/>
          <w:lang w:val="en-US" w:eastAsia="zh-CN"/>
        </w:rPr>
        <w:t>城镇建设用地</w:t>
      </w:r>
    </w:p>
    <w:p>
      <w:pPr>
        <w:adjustRightInd w:val="0"/>
        <w:snapToGrid w:val="0"/>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征</w:t>
      </w:r>
      <w:r>
        <w:rPr>
          <w:rFonts w:hint="default" w:ascii="Times New Roman" w:hAnsi="Times New Roman" w:eastAsia="方正小标宋简体" w:cs="Times New Roman"/>
          <w:color w:val="000000"/>
          <w:sz w:val="44"/>
          <w:szCs w:val="44"/>
          <w:lang w:val="en-US" w:eastAsia="zh-CN"/>
        </w:rPr>
        <w:t>地</w:t>
      </w:r>
      <w:r>
        <w:rPr>
          <w:rFonts w:hint="default" w:ascii="Times New Roman" w:hAnsi="Times New Roman" w:eastAsia="方正小标宋简体" w:cs="Times New Roman"/>
          <w:color w:val="000000"/>
          <w:sz w:val="44"/>
          <w:szCs w:val="44"/>
        </w:rPr>
        <w:t>补偿安置方案</w:t>
      </w:r>
    </w:p>
    <w:p>
      <w:pPr>
        <w:spacing w:line="500" w:lineRule="exact"/>
        <w:rPr>
          <w:rFonts w:hint="default" w:ascii="Times New Roman" w:hAnsi="Times New Roman" w:eastAsia="仿宋_GB2312" w:cs="Times New Roman"/>
          <w:sz w:val="32"/>
          <w:szCs w:val="32"/>
        </w:rPr>
      </w:pP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为实施中新广州知识城建设规划，完善城市功能，改善城市环境，促进经济、文化发展，我区拟征收</w:t>
      </w:r>
      <w:r>
        <w:rPr>
          <w:rFonts w:hint="default" w:ascii="Times New Roman" w:hAnsi="Times New Roman" w:eastAsia="仿宋_GB2312" w:cs="Times New Roman"/>
          <w:color w:val="000000"/>
          <w:sz w:val="32"/>
          <w:szCs w:val="32"/>
          <w:lang w:bidi="ar"/>
        </w:rPr>
        <w:t>广州市黄埔区龙湖街何棠下村经济联合社</w:t>
      </w:r>
      <w:r>
        <w:rPr>
          <w:rFonts w:hint="default" w:ascii="Times New Roman" w:hAnsi="Times New Roman" w:eastAsia="仿宋_GB2312" w:cs="Times New Roman"/>
          <w:color w:val="000000"/>
          <w:sz w:val="32"/>
          <w:szCs w:val="32"/>
          <w:lang w:val="en-US" w:eastAsia="zh-CN" w:bidi="ar"/>
        </w:rPr>
        <w:t>属下的</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1.4543</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rPr>
        <w:t>根据《中华人民共和国土地管理法》第二条、第四十五条、第四十七条有关规定精神、《广东省实施〈中华人民共和国土地管理法〉办法》等规定，结合我区</w:t>
      </w:r>
      <w:r>
        <w:rPr>
          <w:rFonts w:hint="default" w:ascii="Times New Roman" w:hAnsi="Times New Roman" w:eastAsia="仿宋_GB2312" w:cs="Times New Roman"/>
          <w:sz w:val="32"/>
          <w:szCs w:val="32"/>
          <w:lang w:val="en-US" w:eastAsia="zh-CN"/>
        </w:rPr>
        <w:t>的征收农用地区片综合地价和</w:t>
      </w:r>
      <w:r>
        <w:rPr>
          <w:rFonts w:hint="default" w:ascii="Times New Roman" w:hAnsi="Times New Roman" w:eastAsia="仿宋_GB2312" w:cs="Times New Roman"/>
          <w:sz w:val="32"/>
          <w:szCs w:val="32"/>
        </w:rPr>
        <w:t>实际情况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拟定了征地补偿安置方案，具体如下：</w:t>
      </w: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一、征收集体土地情况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sz w:val="32"/>
          <w:szCs w:val="32"/>
        </w:rPr>
        <w:t>该项目</w:t>
      </w:r>
      <w:r>
        <w:rPr>
          <w:rFonts w:hint="default" w:ascii="Times New Roman" w:hAnsi="Times New Roman" w:eastAsia="仿宋_GB2312" w:cs="Times New Roman"/>
          <w:sz w:val="32"/>
          <w:szCs w:val="32"/>
          <w:lang w:val="en-US" w:eastAsia="zh-CN"/>
        </w:rPr>
        <w:t>征收</w:t>
      </w:r>
      <w:r>
        <w:rPr>
          <w:rFonts w:hint="default" w:ascii="Times New Roman" w:hAnsi="Times New Roman" w:eastAsia="仿宋_GB2312" w:cs="Times New Roman"/>
          <w:color w:val="000000"/>
          <w:sz w:val="32"/>
          <w:szCs w:val="32"/>
          <w:lang w:bidi="ar"/>
        </w:rPr>
        <w:t>广州市黄埔区龙湖街何棠下村经济联合社</w:t>
      </w:r>
      <w:r>
        <w:rPr>
          <w:rFonts w:hint="default" w:ascii="Times New Roman" w:hAnsi="Times New Roman" w:eastAsia="仿宋_GB2312" w:cs="Times New Roman"/>
          <w:color w:val="000000"/>
          <w:sz w:val="32"/>
          <w:szCs w:val="32"/>
          <w:lang w:val="en-US" w:eastAsia="zh-CN" w:bidi="ar"/>
        </w:rPr>
        <w:t>属下</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1.4543</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，其中</w:t>
      </w:r>
      <w:r>
        <w:rPr>
          <w:rFonts w:hint="eastAsia" w:ascii="Times New Roman" w:hAnsi="Times New Roman" w:eastAsia="仿宋_GB2312" w:cs="Times New Roman"/>
          <w:color w:val="000000"/>
          <w:sz w:val="32"/>
          <w:szCs w:val="32"/>
          <w:lang w:eastAsia="zh-CN" w:bidi="ar"/>
        </w:rPr>
        <w:t>建设用地</w:t>
      </w:r>
      <w:r>
        <w:rPr>
          <w:rFonts w:hint="eastAsia" w:ascii="Times New Roman" w:hAnsi="Times New Roman" w:eastAsia="仿宋_GB2312" w:cs="Times New Roman"/>
          <w:color w:val="000000"/>
          <w:sz w:val="32"/>
          <w:szCs w:val="32"/>
          <w:lang w:val="en-US" w:eastAsia="zh-CN" w:bidi="ar"/>
        </w:rPr>
        <w:t>1.4543</w:t>
      </w:r>
      <w:r>
        <w:rPr>
          <w:rFonts w:hint="default" w:ascii="Times New Roman" w:hAnsi="Times New Roman" w:eastAsia="仿宋_GB2312" w:cs="Times New Roman"/>
          <w:color w:val="000000"/>
          <w:sz w:val="32"/>
          <w:szCs w:val="32"/>
          <w:lang w:bidi="ar"/>
        </w:rPr>
        <w:t>公顷。</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szCs w:val="32"/>
          <w:lang w:val="en-US" w:eastAsia="zh-CN" w:bidi="ar"/>
        </w:rPr>
      </w:pPr>
      <w:r>
        <w:rPr>
          <w:rFonts w:hint="default" w:ascii="Times New Roman" w:hAnsi="Times New Roman" w:eastAsia="仿宋_GB2312" w:cs="Times New Roman"/>
          <w:color w:val="000000"/>
          <w:sz w:val="32"/>
          <w:szCs w:val="32"/>
          <w:lang w:val="en-US" w:eastAsia="zh-CN" w:bidi="ar"/>
        </w:rPr>
        <w:t>征地补偿标准</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土地补偿和安置补助</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土地补偿费与安置补偿费一览表</w:t>
      </w:r>
    </w:p>
    <w:p>
      <w:pPr>
        <w:keepNext w:val="0"/>
        <w:keepLines w:val="0"/>
        <w:pageBreakBefore w:val="0"/>
        <w:widowControl w:val="0"/>
        <w:numPr>
          <w:ilvl w:val="0"/>
          <w:numId w:val="0"/>
        </w:numPr>
        <w:kinsoku/>
        <w:wordWrap/>
        <w:overflowPunct/>
        <w:topLinePunct w:val="0"/>
        <w:autoSpaceDE/>
        <w:autoSpaceDN/>
        <w:bidi w:val="0"/>
        <w:adjustRightInd/>
        <w:snapToGrid/>
        <w:jc w:val="righ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（单位：公顷、万元/公顷、万元）</w:t>
      </w:r>
    </w:p>
    <w:p>
      <w:pPr>
        <w:keepNext w:val="0"/>
        <w:keepLines w:val="0"/>
        <w:pageBreakBefore w:val="0"/>
        <w:widowControl w:val="0"/>
        <w:numPr>
          <w:ilvl w:val="0"/>
          <w:numId w:val="0"/>
        </w:numPr>
        <w:kinsoku/>
        <w:wordWrap/>
        <w:overflowPunct/>
        <w:topLinePunct w:val="0"/>
        <w:autoSpaceDE/>
        <w:autoSpaceDN/>
        <w:bidi w:val="0"/>
        <w:adjustRightInd/>
        <w:snapToGrid/>
        <w:jc w:val="right"/>
        <w:textAlignment w:val="auto"/>
        <w:rPr>
          <w:rFonts w:hint="default" w:ascii="Times New Roman" w:hAnsi="Times New Roman" w:eastAsia="仿宋_GB2312" w:cs="Times New Roman"/>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right"/>
        <w:textAlignment w:val="auto"/>
        <w:rPr>
          <w:rFonts w:hint="default" w:ascii="Times New Roman" w:hAnsi="Times New Roman" w:eastAsia="仿宋_GB2312" w:cs="Times New Roman"/>
          <w:b/>
          <w:bCs/>
          <w:sz w:val="28"/>
          <w:szCs w:val="28"/>
          <w:lang w:val="en-US" w:eastAsia="zh-CN"/>
        </w:rPr>
      </w:pPr>
    </w:p>
    <w:tbl>
      <w:tblPr>
        <w:tblStyle w:val="2"/>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8"/>
        <w:gridCol w:w="765"/>
        <w:gridCol w:w="1065"/>
        <w:gridCol w:w="795"/>
        <w:gridCol w:w="1215"/>
        <w:gridCol w:w="750"/>
        <w:gridCol w:w="1155"/>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blHeader/>
          <w:jc w:val="center"/>
        </w:trPr>
        <w:tc>
          <w:tcPr>
            <w:tcW w:w="2478"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被征地单位</w:t>
            </w:r>
          </w:p>
        </w:tc>
        <w:tc>
          <w:tcPr>
            <w:tcW w:w="765"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土地类别</w:t>
            </w:r>
          </w:p>
        </w:tc>
        <w:tc>
          <w:tcPr>
            <w:tcW w:w="1065"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面积</w:t>
            </w:r>
          </w:p>
        </w:tc>
        <w:tc>
          <w:tcPr>
            <w:tcW w:w="2010"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eastAsia="zh-CN"/>
              </w:rPr>
            </w:pPr>
            <w:r>
              <w:rPr>
                <w:rFonts w:hint="default" w:ascii="Times New Roman" w:hAnsi="Times New Roman" w:eastAsia="仿宋_GB2312" w:cs="Times New Roman"/>
                <w:b/>
                <w:bCs/>
                <w:color w:val="000000"/>
                <w:kern w:val="0"/>
                <w:sz w:val="22"/>
                <w:szCs w:val="22"/>
              </w:rPr>
              <w:t>土地补偿</w:t>
            </w:r>
            <w:r>
              <w:rPr>
                <w:rFonts w:hint="default" w:ascii="Times New Roman" w:hAnsi="Times New Roman" w:eastAsia="仿宋_GB2312" w:cs="Times New Roman"/>
                <w:b/>
                <w:bCs/>
                <w:color w:val="000000"/>
                <w:kern w:val="0"/>
                <w:sz w:val="22"/>
                <w:szCs w:val="22"/>
                <w:lang w:val="en-US" w:eastAsia="zh-CN"/>
              </w:rPr>
              <w:t>费</w:t>
            </w:r>
          </w:p>
        </w:tc>
        <w:tc>
          <w:tcPr>
            <w:tcW w:w="1905"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eastAsia="zh-CN"/>
              </w:rPr>
            </w:pPr>
            <w:r>
              <w:rPr>
                <w:rFonts w:hint="default" w:ascii="Times New Roman" w:hAnsi="Times New Roman" w:eastAsia="仿宋_GB2312" w:cs="Times New Roman"/>
                <w:b/>
                <w:bCs/>
                <w:color w:val="000000"/>
                <w:kern w:val="0"/>
                <w:sz w:val="22"/>
                <w:szCs w:val="22"/>
              </w:rPr>
              <w:t>安置补助</w:t>
            </w:r>
            <w:r>
              <w:rPr>
                <w:rFonts w:hint="default" w:ascii="Times New Roman" w:hAnsi="Times New Roman" w:eastAsia="仿宋_GB2312" w:cs="Times New Roman"/>
                <w:b/>
                <w:bCs/>
                <w:color w:val="000000"/>
                <w:kern w:val="0"/>
                <w:sz w:val="22"/>
                <w:szCs w:val="22"/>
                <w:lang w:val="en-US" w:eastAsia="zh-CN"/>
              </w:rPr>
              <w:t>费</w:t>
            </w:r>
          </w:p>
        </w:tc>
        <w:tc>
          <w:tcPr>
            <w:tcW w:w="1156"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blHeader/>
          <w:jc w:val="center"/>
        </w:trPr>
        <w:tc>
          <w:tcPr>
            <w:tcW w:w="2478"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765"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1065"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79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lang w:val="en-US" w:eastAsia="zh-CN"/>
              </w:rPr>
              <w:t>补偿</w:t>
            </w:r>
            <w:r>
              <w:rPr>
                <w:rFonts w:hint="default" w:ascii="Times New Roman" w:hAnsi="Times New Roman" w:eastAsia="仿宋_GB2312" w:cs="Times New Roman"/>
                <w:b/>
                <w:bCs/>
                <w:color w:val="000000"/>
                <w:kern w:val="0"/>
                <w:sz w:val="22"/>
                <w:szCs w:val="22"/>
              </w:rPr>
              <w:t>标准</w:t>
            </w:r>
          </w:p>
        </w:tc>
        <w:tc>
          <w:tcPr>
            <w:tcW w:w="121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default" w:ascii="Times New Roman" w:hAnsi="Times New Roman" w:eastAsia="仿宋_GB2312" w:cs="Times New Roman"/>
                <w:b/>
                <w:bCs/>
                <w:color w:val="000000"/>
                <w:kern w:val="0"/>
                <w:sz w:val="22"/>
                <w:szCs w:val="22"/>
                <w:lang w:val="en-US" w:eastAsia="zh-CN"/>
              </w:rPr>
              <w:t>补偿金额</w:t>
            </w:r>
          </w:p>
        </w:tc>
        <w:tc>
          <w:tcPr>
            <w:tcW w:w="750"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lang w:val="en-US" w:eastAsia="zh-CN"/>
              </w:rPr>
              <w:t>补偿</w:t>
            </w:r>
            <w:r>
              <w:rPr>
                <w:rFonts w:hint="default" w:ascii="Times New Roman" w:hAnsi="Times New Roman" w:eastAsia="仿宋_GB2312" w:cs="Times New Roman"/>
                <w:b/>
                <w:bCs/>
                <w:color w:val="000000"/>
                <w:kern w:val="0"/>
                <w:sz w:val="22"/>
                <w:szCs w:val="22"/>
              </w:rPr>
              <w:t>标准</w:t>
            </w:r>
          </w:p>
        </w:tc>
        <w:tc>
          <w:tcPr>
            <w:tcW w:w="115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default" w:ascii="Times New Roman" w:hAnsi="Times New Roman" w:eastAsia="仿宋_GB2312" w:cs="Times New Roman"/>
                <w:b/>
                <w:bCs/>
                <w:color w:val="000000"/>
                <w:kern w:val="0"/>
                <w:sz w:val="22"/>
                <w:szCs w:val="22"/>
                <w:lang w:val="en-US" w:eastAsia="zh-CN"/>
              </w:rPr>
              <w:t>补偿金额</w:t>
            </w:r>
          </w:p>
        </w:tc>
        <w:tc>
          <w:tcPr>
            <w:tcW w:w="1156" w:type="dxa"/>
            <w:vMerge w:val="continue"/>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color w:val="000000"/>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广州市黄埔区龙湖街何棠下村经济联合社</w:t>
            </w:r>
          </w:p>
        </w:tc>
        <w:tc>
          <w:tcPr>
            <w:tcW w:w="765"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1.4543</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102.0919</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181.4966</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283.5885</w:t>
            </w:r>
            <w:r>
              <w:rPr>
                <w:rFonts w:hint="default" w:ascii="Times New Roman" w:hAnsi="Times New Roman" w:eastAsia="宋体" w:cs="Times New Roman"/>
                <w:i w:val="0"/>
                <w:iCs w:val="0"/>
                <w:color w:val="000000"/>
                <w:kern w:val="0"/>
                <w:sz w:val="22"/>
                <w:szCs w:val="22"/>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3243" w:type="dxa"/>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2"/>
                <w:szCs w:val="22"/>
                <w:lang w:val="en-US" w:eastAsia="zh-CN"/>
              </w:rPr>
            </w:pPr>
            <w:r>
              <w:rPr>
                <w:rFonts w:hint="eastAsia" w:ascii="仿宋_GB2312" w:hAnsi="仿宋_GB2312" w:eastAsia="仿宋_GB2312" w:cs="仿宋_GB2312"/>
                <w:b/>
                <w:bCs/>
                <w:i w:val="0"/>
                <w:iCs w:val="0"/>
                <w:color w:val="000000"/>
                <w:kern w:val="0"/>
                <w:sz w:val="22"/>
                <w:szCs w:val="22"/>
                <w:u w:val="none"/>
                <w:lang w:val="en-US" w:eastAsia="zh-CN" w:bidi="ar"/>
              </w:rPr>
              <w:t>合计</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0"/>
                <w:szCs w:val="20"/>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1.4543</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0"/>
                <w:szCs w:val="20"/>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0"/>
                <w:szCs w:val="20"/>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102.0919</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0"/>
                <w:szCs w:val="20"/>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0"/>
                <w:szCs w:val="20"/>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181.4966</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0"/>
                <w:szCs w:val="20"/>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283.5885</w:t>
            </w:r>
            <w:r>
              <w:rPr>
                <w:rFonts w:hint="default" w:ascii="Times New Roman" w:hAnsi="Times New Roman" w:eastAsia="宋体" w:cs="Times New Roman"/>
                <w:b/>
                <w:bCs/>
                <w:i w:val="0"/>
                <w:iCs w:val="0"/>
                <w:color w:val="000000"/>
                <w:kern w:val="0"/>
                <w:sz w:val="22"/>
                <w:szCs w:val="22"/>
                <w:u w:val="none"/>
                <w:lang w:val="en-US" w:eastAsia="zh-CN" w:bidi="ar"/>
              </w:rPr>
              <w:t xml:space="preserve"> </w:t>
            </w:r>
          </w:p>
        </w:tc>
      </w:tr>
    </w:tbl>
    <w:p>
      <w:pPr>
        <w:numPr>
          <w:ilvl w:val="0"/>
          <w:numId w:val="2"/>
        </w:numPr>
        <w:ind w:left="0" w:leftChars="0"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color w:val="000000"/>
          <w:sz w:val="32"/>
          <w:szCs w:val="32"/>
          <w:lang w:eastAsia="zh-CN"/>
        </w:rPr>
        <w:t>不涉及</w:t>
      </w:r>
      <w:r>
        <w:rPr>
          <w:rFonts w:hint="default" w:ascii="Times New Roman" w:hAnsi="Times New Roman" w:eastAsia="仿宋_GB2312" w:cs="Times New Roman"/>
          <w:color w:val="000000"/>
          <w:sz w:val="32"/>
          <w:szCs w:val="32"/>
        </w:rPr>
        <w:t>青苗</w:t>
      </w:r>
      <w:r>
        <w:rPr>
          <w:rFonts w:hint="eastAsia" w:ascii="Times New Roman" w:hAnsi="Times New Roman" w:eastAsia="仿宋_GB2312" w:cs="Times New Roman"/>
          <w:color w:val="000000"/>
          <w:sz w:val="32"/>
          <w:szCs w:val="32"/>
          <w:lang w:eastAsia="zh-CN"/>
        </w:rPr>
        <w:t>及地上附着物</w:t>
      </w:r>
      <w:r>
        <w:rPr>
          <w:rFonts w:hint="default" w:ascii="Times New Roman" w:hAnsi="Times New Roman" w:eastAsia="仿宋_GB2312" w:cs="Times New Roman"/>
          <w:color w:val="000000"/>
          <w:sz w:val="32"/>
          <w:szCs w:val="32"/>
          <w:lang w:val="en-US" w:eastAsia="zh-CN"/>
        </w:rPr>
        <w:t>补偿费</w:t>
      </w:r>
      <w:r>
        <w:rPr>
          <w:rFonts w:hint="eastAsia" w:ascii="Times New Roman" w:hAnsi="Times New Roman" w:eastAsia="仿宋_GB2312" w:cs="Times New Roman"/>
          <w:sz w:val="32"/>
          <w:szCs w:val="32"/>
          <w:lang w:val="en-US" w:eastAsia="zh-CN"/>
        </w:rPr>
        <w:t>用</w:t>
      </w:r>
      <w:r>
        <w:rPr>
          <w:rFonts w:hint="default" w:ascii="Times New Roman" w:hAnsi="Times New Roman" w:eastAsia="仿宋_GB2312" w:cs="Times New Roman"/>
          <w:sz w:val="32"/>
          <w:szCs w:val="32"/>
        </w:rPr>
        <w:t>。</w:t>
      </w:r>
    </w:p>
    <w:p>
      <w:pPr>
        <w:numPr>
          <w:ilvl w:val="0"/>
          <w:numId w:val="2"/>
        </w:numPr>
        <w:spacing w:line="240" w:lineRule="auto"/>
        <w:ind w:left="0" w:leftChars="0" w:firstLine="640" w:firstLineChars="200"/>
        <w:rPr>
          <w:rFonts w:hint="eastAsia" w:ascii="仿宋_GB2312" w:hAnsi="宋体" w:eastAsia="仿宋_GB2312"/>
          <w:sz w:val="32"/>
          <w:szCs w:val="32"/>
        </w:rPr>
      </w:pPr>
      <w:r>
        <w:rPr>
          <w:rFonts w:hint="eastAsia" w:ascii="仿宋_GB2312" w:hAnsi="宋体" w:eastAsia="仿宋_GB2312"/>
          <w:sz w:val="32"/>
          <w:szCs w:val="32"/>
        </w:rPr>
        <w:t>该批次</w:t>
      </w:r>
      <w:r>
        <w:rPr>
          <w:rFonts w:hint="eastAsia" w:ascii="仿宋_GB2312" w:hAnsi="宋体" w:eastAsia="仿宋_GB2312"/>
          <w:sz w:val="32"/>
          <w:szCs w:val="32"/>
          <w:lang w:eastAsia="zh-CN"/>
        </w:rPr>
        <w:t>用</w:t>
      </w:r>
      <w:r>
        <w:rPr>
          <w:rFonts w:hint="eastAsia" w:ascii="仿宋_GB2312" w:hAnsi="宋体" w:eastAsia="仿宋_GB2312"/>
          <w:sz w:val="32"/>
          <w:szCs w:val="32"/>
        </w:rPr>
        <w:t>地为村经济发展留用地，未发生实际的征地补偿费用。</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安置措施情况</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（一）该批次为广州市黄埔区</w:t>
      </w:r>
      <w:r>
        <w:rPr>
          <w:rFonts w:hint="eastAsia" w:ascii="Times New Roman" w:hAnsi="Times New Roman" w:eastAsia="仿宋_GB2312" w:cs="Times New Roman"/>
          <w:sz w:val="32"/>
          <w:szCs w:val="32"/>
          <w:lang w:val="en-US" w:eastAsia="zh-CN"/>
        </w:rPr>
        <w:t>龙湖街何棠下</w:t>
      </w:r>
      <w:r>
        <w:rPr>
          <w:rFonts w:hint="default" w:ascii="Times New Roman" w:hAnsi="Times New Roman" w:eastAsia="仿宋_GB2312" w:cs="Times New Roman"/>
          <w:sz w:val="32"/>
          <w:szCs w:val="32"/>
          <w:lang w:val="en-US" w:eastAsia="zh-CN"/>
        </w:rPr>
        <w:t>村</w:t>
      </w:r>
      <w:r>
        <w:rPr>
          <w:rFonts w:hint="default" w:ascii="Times New Roman" w:hAnsi="Times New Roman" w:eastAsia="仿宋_GB2312" w:cs="Times New Roman"/>
          <w:sz w:val="32"/>
          <w:szCs w:val="32"/>
        </w:rPr>
        <w:t>留用地项目，使用留用地指标办理农用地转用和征收手续，按照《广东省人民政府办公厅关于加强征收农村集体土地留用地安置管理工作的意见》（粤府办〔2016〕30号）的相关规定，不需再安排留用地。</w:t>
      </w:r>
    </w:p>
    <w:p>
      <w:pPr>
        <w:spacing w:line="54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（二）根据《</w:t>
      </w:r>
      <w:r>
        <w:rPr>
          <w:rFonts w:hint="default" w:ascii="Times New Roman" w:hAnsi="Times New Roman" w:eastAsia="仿宋_GB2312" w:cs="Times New Roman"/>
          <w:color w:val="000000"/>
          <w:kern w:val="0"/>
          <w:sz w:val="32"/>
          <w:szCs w:val="32"/>
          <w:shd w:val="clear" w:color="auto" w:fill="FFFFFF"/>
          <w:lang w:bidi="ar"/>
        </w:rPr>
        <w:t>广东省人民政府办公厅转发省人力资源社会保障厅关于进一步完善我省被征地农民养老保障</w:t>
      </w:r>
      <w:r>
        <w:rPr>
          <w:rFonts w:hint="eastAsia" w:ascii="Times New Roman" w:hAnsi="Times New Roman" w:eastAsia="仿宋_GB2312" w:cs="Times New Roman"/>
          <w:color w:val="000000"/>
          <w:kern w:val="0"/>
          <w:sz w:val="32"/>
          <w:szCs w:val="32"/>
          <w:shd w:val="clear" w:color="auto" w:fill="FFFFFF"/>
          <w:lang w:eastAsia="zh-CN" w:bidi="ar"/>
        </w:rPr>
        <w:t>政策意见的通知</w:t>
      </w:r>
      <w:r>
        <w:rPr>
          <w:rFonts w:hint="default" w:ascii="Times New Roman" w:hAnsi="Times New Roman" w:eastAsia="仿宋_GB2312" w:cs="Times New Roman"/>
          <w:color w:val="000000"/>
          <w:kern w:val="0"/>
          <w:sz w:val="32"/>
          <w:szCs w:val="32"/>
          <w:shd w:val="clear" w:color="auto" w:fill="FFFFFF"/>
          <w:lang w:bidi="ar"/>
        </w:rPr>
        <w:t>》（粤府办〔2021〕22号）</w:t>
      </w:r>
      <w:r>
        <w:rPr>
          <w:rFonts w:hint="default" w:ascii="Times New Roman" w:hAnsi="Times New Roman" w:eastAsia="仿宋_GB2312" w:cs="Times New Roman"/>
          <w:sz w:val="32"/>
          <w:szCs w:val="32"/>
        </w:rPr>
        <w:t>，该项目</w:t>
      </w:r>
      <w:r>
        <w:rPr>
          <w:rFonts w:ascii="Times New Roman" w:hAnsi="Times New Roman" w:eastAsia="仿宋" w:cs="Times New Roman"/>
          <w:sz w:val="32"/>
          <w:szCs w:val="32"/>
        </w:rPr>
        <w:t>不</w:t>
      </w:r>
      <w:r>
        <w:rPr>
          <w:rFonts w:hint="default" w:ascii="Times New Roman" w:hAnsi="Times New Roman" w:eastAsia="仿宋" w:cs="Times New Roman"/>
          <w:sz w:val="32"/>
          <w:szCs w:val="32"/>
        </w:rPr>
        <w:t>需</w:t>
      </w:r>
      <w:r>
        <w:rPr>
          <w:rFonts w:hint="default" w:ascii="Times New Roman" w:hAnsi="Times New Roman" w:eastAsia="仿宋_GB2312" w:cs="Times New Roman"/>
          <w:sz w:val="32"/>
          <w:szCs w:val="32"/>
        </w:rPr>
        <w:t>计提社保资金。</w:t>
      </w:r>
    </w:p>
    <w:p>
      <w:pPr>
        <w:spacing w:line="600" w:lineRule="exact"/>
        <w:ind w:firstLine="640" w:firstLineChars="200"/>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bidi w:val="0"/>
        <w:adjustRightInd w:val="0"/>
        <w:snapToGrid w:val="0"/>
        <w:spacing w:line="560" w:lineRule="exact"/>
        <w:ind w:left="7360" w:hanging="7360" w:hangingChars="2300"/>
        <w:jc w:val="right"/>
        <w:rPr>
          <w:rFonts w:hint="eastAsia" w:ascii="仿宋_GB2312" w:hAnsi="仿宋" w:eastAsia="仿宋_GB2312"/>
          <w:sz w:val="32"/>
          <w:szCs w:val="32"/>
        </w:rPr>
      </w:pPr>
      <w:r>
        <w:rPr>
          <w:rFonts w:hint="eastAsia" w:ascii="仿宋_GB2312" w:eastAsia="仿宋_GB2312"/>
          <w:sz w:val="32"/>
          <w:szCs w:val="32"/>
        </w:rPr>
        <w:t>广州开发区规划和自然资源局</w:t>
      </w:r>
      <w:r>
        <w:rPr>
          <w:rFonts w:hint="eastAsia" w:ascii="仿宋_GB2312" w:hAnsi="仿宋" w:eastAsia="仿宋_GB2312"/>
          <w:sz w:val="32"/>
          <w:szCs w:val="32"/>
        </w:rPr>
        <w:t xml:space="preserve">     </w:t>
      </w:r>
    </w:p>
    <w:p>
      <w:pPr>
        <w:keepNext w:val="0"/>
        <w:keepLines w:val="0"/>
        <w:pageBreakBefore w:val="0"/>
        <w:kinsoku/>
        <w:wordWrap/>
        <w:overflowPunct/>
        <w:topLinePunct w:val="0"/>
        <w:autoSpaceDE/>
        <w:bidi w:val="0"/>
        <w:adjustRightInd w:val="0"/>
        <w:snapToGrid w:val="0"/>
        <w:spacing w:line="560" w:lineRule="exact"/>
        <w:ind w:firstLine="5120" w:firstLineChars="1600"/>
        <w:rPr>
          <w:rFonts w:hint="eastAsia" w:ascii="仿宋_GB2312" w:hAnsi="仿宋" w:eastAsia="仿宋_GB2312"/>
          <w:sz w:val="32"/>
          <w:szCs w:val="32"/>
        </w:rPr>
      </w:pPr>
      <w:r>
        <w:rPr>
          <w:rFonts w:hint="eastAsia" w:ascii="仿宋_GB2312" w:hAnsi="仿宋" w:eastAsia="仿宋_GB2312" w:cs="仿宋_GB2312"/>
          <w:sz w:val="32"/>
          <w:szCs w:val="32"/>
          <w:shd w:val="clear" w:color="auto" w:fill="FFFFFF"/>
        </w:rPr>
        <w:t xml:space="preserve"> </w:t>
      </w:r>
      <w:r>
        <w:rPr>
          <w:rFonts w:hint="default" w:ascii="Times New Roman" w:hAnsi="Times New Roman" w:eastAsia="仿宋_GB2312" w:cs="Times New Roman"/>
          <w:sz w:val="32"/>
          <w:szCs w:val="32"/>
          <w:shd w:val="clear" w:color="auto" w:fill="FFFFFF"/>
        </w:rPr>
        <w:t xml:space="preserve"> 202</w:t>
      </w:r>
      <w:r>
        <w:rPr>
          <w:rFonts w:hint="default" w:ascii="Times New Roman" w:hAnsi="Times New Roman" w:eastAsia="仿宋_GB2312" w:cs="Times New Roman"/>
          <w:sz w:val="32"/>
          <w:szCs w:val="32"/>
          <w:shd w:val="clear" w:color="auto" w:fill="FFFFFF"/>
          <w:lang w:val="en-US" w:eastAsia="zh-CN"/>
        </w:rPr>
        <w:t>2</w:t>
      </w:r>
      <w:r>
        <w:rPr>
          <w:rFonts w:hint="default" w:ascii="Times New Roman" w:hAnsi="Times New Roman" w:eastAsia="仿宋_GB2312" w:cs="Times New Roman"/>
          <w:sz w:val="32"/>
          <w:szCs w:val="32"/>
          <w:shd w:val="clear" w:color="auto" w:fill="FFFFFF"/>
        </w:rPr>
        <w:t>年</w:t>
      </w:r>
      <w:r>
        <w:rPr>
          <w:rFonts w:hint="eastAsia" w:ascii="Times New Roman" w:hAnsi="Times New Roman" w:eastAsia="仿宋_GB2312" w:cs="Times New Roman"/>
          <w:sz w:val="32"/>
          <w:szCs w:val="32"/>
          <w:shd w:val="clear" w:color="auto" w:fill="FFFFFF"/>
          <w:lang w:val="en-US" w:eastAsia="zh-CN"/>
        </w:rPr>
        <w:t>3</w:t>
      </w:r>
      <w:r>
        <w:rPr>
          <w:rFonts w:hint="eastAsia" w:ascii="仿宋_GB2312" w:hAnsi="仿宋" w:eastAsia="仿宋_GB2312" w:cs="仿宋_GB2312"/>
          <w:sz w:val="32"/>
          <w:szCs w:val="32"/>
          <w:shd w:val="clear" w:color="auto" w:fill="FFFFFF"/>
        </w:rPr>
        <w:t>月</w:t>
      </w:r>
      <w:bookmarkStart w:id="0" w:name="_GoBack"/>
      <w:r>
        <w:rPr>
          <w:rFonts w:hint="default" w:ascii="Times New Roman" w:hAnsi="Times New Roman" w:eastAsia="仿宋_GB2312" w:cs="Times New Roman"/>
          <w:sz w:val="32"/>
          <w:szCs w:val="32"/>
          <w:shd w:val="clear" w:color="auto" w:fill="FFFFFF"/>
          <w:lang w:val="en-US" w:eastAsia="zh-CN"/>
        </w:rPr>
        <w:t>21</w:t>
      </w:r>
      <w:bookmarkEnd w:id="0"/>
      <w:r>
        <w:rPr>
          <w:rFonts w:hint="eastAsia" w:ascii="仿宋_GB2312" w:hAnsi="仿宋" w:eastAsia="仿宋_GB2312" w:cs="仿宋_GB2312"/>
          <w:sz w:val="32"/>
          <w:szCs w:val="32"/>
          <w:shd w:val="clear" w:color="auto" w:fill="FFFFFF"/>
        </w:rPr>
        <w:t>日</w:t>
      </w:r>
    </w:p>
    <w:p/>
    <w:sectPr>
      <w:pgSz w:w="11906" w:h="16838"/>
      <w:pgMar w:top="1417" w:right="1587" w:bottom="1417"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E5F31"/>
    <w:multiLevelType w:val="singleLevel"/>
    <w:tmpl w:val="805E5F31"/>
    <w:lvl w:ilvl="0" w:tentative="0">
      <w:start w:val="1"/>
      <w:numFmt w:val="chineseCounting"/>
      <w:suff w:val="nothing"/>
      <w:lvlText w:val="（%1）"/>
      <w:lvlJc w:val="left"/>
      <w:rPr>
        <w:rFonts w:hint="eastAsia"/>
      </w:rPr>
    </w:lvl>
  </w:abstractNum>
  <w:abstractNum w:abstractNumId="1">
    <w:nsid w:val="3195F1B0"/>
    <w:multiLevelType w:val="singleLevel"/>
    <w:tmpl w:val="3195F1B0"/>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904891"/>
    <w:rsid w:val="093B46A4"/>
    <w:rsid w:val="1D54444B"/>
    <w:rsid w:val="20685665"/>
    <w:rsid w:val="2591116E"/>
    <w:rsid w:val="43CF14AC"/>
    <w:rsid w:val="45537E57"/>
    <w:rsid w:val="4D080ABA"/>
    <w:rsid w:val="4D8B5B2D"/>
    <w:rsid w:val="552E6105"/>
    <w:rsid w:val="69B0619A"/>
    <w:rsid w:val="6E013A9A"/>
    <w:rsid w:val="6F904891"/>
    <w:rsid w:val="7D9D71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2022-01-24T06:20:00Z</dcterms:created>
  <dc:creator>回忆か~捉不到</dc:creator>
  <cp:lastModifiedBy>花生</cp:lastModifiedBy>
  <dcterms:modified xsi:type="dcterms:W3CDTF">2022-03-25T01:24:30Z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5B9232B0420C4099A1D401C4350B46CD</vt:lpwstr>
  </property>
</Properties>
</file>