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adjustRightInd w:val="0"/>
        <w:snapToGrid w:val="0"/>
        <w:spacing w:line="240" w:lineRule="atLeast"/>
        <w:ind w:firstLine="645"/>
        <w:jc w:val="right"/>
        <w:textAlignment w:val="baseline"/>
        <w:outlineLvl w:val="9"/>
        <w:rPr>
          <w:rFonts w:ascii="仿宋" w:hAnsi="仿宋" w:eastAsia="仿宋" w:cs="仿宋_GB2312"/>
          <w:sz w:val="32"/>
          <w:szCs w:val="32"/>
        </w:rPr>
      </w:pPr>
      <w:bookmarkStart w:id="0" w:name="_GoBack"/>
      <w:r>
        <w:rPr>
          <w:rFonts w:ascii="仿宋" w:hAnsi="仿宋" w:eastAsia="仿宋" w:cs="仿宋_GB2312"/>
          <w:sz w:val="32"/>
          <w:szCs w:val="32"/>
        </w:rPr>
        <w:t>粤府土审（02）〔202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_GB2312"/>
          <w:sz w:val="32"/>
          <w:szCs w:val="32"/>
        </w:rPr>
        <w:t>〕8号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napToGrid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kern w:val="2"/>
          <w:sz w:val="44"/>
          <w:szCs w:val="44"/>
          <w:lang w:val="en-US" w:eastAsia="zh-CN" w:bidi="ar-SA"/>
        </w:rPr>
        <w:t>广东省人民政府关于广州市南沙区2020年度第三十三批次城镇建设用地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snapToGrid/>
          <w:kern w:val="2"/>
          <w:sz w:val="44"/>
          <w:szCs w:val="44"/>
          <w:lang w:val="en-US" w:eastAsia="zh-CN" w:bidi="ar-SA"/>
        </w:rPr>
        <w:t>(增减挂钩) 的批复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textAlignment w:val="baseline"/>
        <w:outlineLvl w:val="9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jc w:val="left"/>
        <w:textAlignment w:val="baseline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广州</w:t>
      </w:r>
      <w:r>
        <w:rPr>
          <w:rFonts w:eastAsia="仿宋_GB2312"/>
          <w:sz w:val="32"/>
          <w:szCs w:val="32"/>
        </w:rPr>
        <w:t>市人民政府：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645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三十三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批次城镇建设用地（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增减挂钩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）的请示》（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穗规划资源（用地）南报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号）及相关材料已通过审核。根据《中华人民共和国土地管理法》第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四十四、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四十五、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以及《广东省实施&lt;中华人民共和国土地管理法&gt;办法》第二十九条的有关规定，批复如下：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该批次用地属使用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跨省调剂城乡建设用地增减挂钩节余指标的用地，建新方案已获省自然资源厅批复（粤自然资函〔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），不需再单独办理农用地转用审批手续。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同意上报的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征收土地方案。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同意你市将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万顷沙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福安经济联合社、沙尾二经济联合社</w:t>
      </w:r>
      <w:r>
        <w:rPr>
          <w:rFonts w:hint="eastAsia" w:ascii="仿宋_GB2312" w:hAnsi="仿宋_GB2312" w:eastAsia="仿宋_GB2312" w:cs="仿宋_GB2312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22.4291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5.5533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10.8987公顷、林地0.3394公顷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5.6377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公顷）转为建设用地，同时使用上述有关村集体建设用地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0.3967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公顷、未利用地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0.1127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公顷，以上合计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22.9385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公顷集体土地一并办理征收为国有土地手续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另同意你市将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南沙区政府掌握</w:t>
      </w:r>
      <w:r>
        <w:rPr>
          <w:rFonts w:hint="eastAsia" w:ascii="仿宋_GB2312" w:hAnsi="仿宋_GB2312" w:eastAsia="仿宋_GB2312" w:cs="仿宋_GB2312"/>
          <w:sz w:val="32"/>
          <w:szCs w:val="32"/>
        </w:rPr>
        <w:t>的国有农用地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0.8233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公顷（耕地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0.3362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公顷、园地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0.4854公顷、林地0.0012公顷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0.0005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公顷）转为建设用地，同时使用上述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政府掌握的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0.0239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公顷、未利用地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0.4005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24.1862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公顷）经完善相关手续后依照规划安排作为广州市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南沙</w:t>
      </w:r>
      <w:r>
        <w:rPr>
          <w:rFonts w:hint="eastAsia" w:ascii="仿宋_GB2312" w:hAnsi="仿宋_GB2312" w:eastAsia="仿宋_GB2312" w:cs="仿宋_GB2312"/>
          <w:sz w:val="32"/>
          <w:szCs w:val="32"/>
        </w:rPr>
        <w:t>区城镇建设用地。</w:t>
      </w:r>
    </w:p>
    <w:p>
      <w:pPr>
        <w:widowControl/>
        <w:numPr>
          <w:ilvl w:val="0"/>
          <w:numId w:val="1"/>
        </w:numPr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该批次用地在土地利用总体规划中安排为城乡建设用地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交通水利建设用地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，供地时土地用途应与土地利用总体规划中的规划安排相符；同时，供地方式、供地规模、供地标准等应严格按照国家和省的有关规定执行，切实做到节约集约用地。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请你市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人民政府督促相关区县按规定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发布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征收土地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五、使用土地涉及有关税费的收缴或调整，请按有关规定办理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、征地批后实施情况和具体项目供地情况须按规定报备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4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2022-03-07T03:23:47Z</dcterms:created>
  <dc:creator>dukai</dc:creator>
  <cp:lastModifiedBy>杜凯</cp:lastModifiedBy>
  <dcterms:modified xsi:type="dcterms:W3CDTF">2022-03-07T03:23:58Z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