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52"/>
        </w:rPr>
      </w:pPr>
    </w:p>
    <w:p>
      <w:pPr>
        <w:jc w:val="center"/>
        <w:rPr>
          <w:b/>
          <w:sz w:val="52"/>
        </w:rPr>
      </w:pPr>
    </w:p>
    <w:p>
      <w:pPr>
        <w:jc w:val="center"/>
        <w:rPr>
          <w:b/>
          <w:sz w:val="52"/>
        </w:rPr>
      </w:pPr>
    </w:p>
    <w:p>
      <w:pPr>
        <w:jc w:val="center"/>
        <w:rPr>
          <w:rFonts w:ascii="宋体" w:hAnsi="宋体" w:cs="宋体"/>
          <w:b/>
          <w:spacing w:val="70"/>
          <w:sz w:val="52"/>
          <w:szCs w:val="52"/>
        </w:rPr>
      </w:pPr>
      <w:r>
        <w:rPr>
          <w:rFonts w:hint="eastAsia" w:ascii="宋体" w:hAnsi="宋体" w:cs="宋体"/>
          <w:sz w:val="52"/>
          <w:szCs w:val="52"/>
          <w:u w:val="single"/>
          <w:lang w:bidi="ar"/>
        </w:rPr>
        <w:t>广东省水利电力勘测设计研究院有限公司</w:t>
      </w:r>
      <w:r>
        <w:rPr>
          <w:rFonts w:hint="eastAsia" w:ascii="宋体" w:hAnsi="宋体" w:cs="宋体"/>
          <w:b/>
          <w:sz w:val="52"/>
          <w:szCs w:val="52"/>
          <w:lang w:bidi="ar"/>
        </w:rPr>
        <w:t>申请测绘资质</w:t>
      </w:r>
    </w:p>
    <w:p>
      <w:pPr>
        <w:jc w:val="center"/>
        <w:rPr>
          <w:rFonts w:ascii="宋体" w:hAnsi="宋体" w:cs="宋体"/>
          <w:b/>
          <w:sz w:val="52"/>
          <w:szCs w:val="52"/>
        </w:rPr>
      </w:pPr>
      <w:r>
        <w:rPr>
          <w:rFonts w:hint="eastAsia" w:ascii="宋体" w:hAnsi="宋体" w:cs="宋体"/>
          <w:b/>
          <w:sz w:val="52"/>
          <w:szCs w:val="52"/>
          <w:lang w:bidi="ar"/>
        </w:rPr>
        <w:t>主要信息公开表（试行）</w:t>
      </w:r>
    </w:p>
    <w:p/>
    <w:p/>
    <w:p/>
    <w:p/>
    <w:p/>
    <w:p>
      <w:pPr>
        <w:jc w:val="center"/>
        <w:rPr>
          <w:b/>
          <w:sz w:val="36"/>
        </w:rPr>
      </w:pPr>
      <w:r>
        <w:rPr>
          <w:rFonts w:ascii="Times New Roman" w:hAnsi="Times New Roman"/>
          <w:b/>
          <w:sz w:val="36"/>
          <w:lang w:bidi="ar"/>
        </w:rPr>
        <w:t xml:space="preserve"> </w:t>
      </w:r>
    </w:p>
    <w:p>
      <w:pPr>
        <w:rPr>
          <w:b/>
          <w:sz w:val="36"/>
        </w:rPr>
      </w:pPr>
    </w:p>
    <w:p>
      <w:pPr>
        <w:jc w:val="both"/>
        <w:rPr>
          <w:spacing w:val="70"/>
          <w:sz w:val="28"/>
          <w:szCs w:val="28"/>
        </w:rPr>
      </w:pPr>
      <w:bookmarkStart w:id="0" w:name="_GoBack"/>
      <w:bookmarkEnd w:id="0"/>
    </w:p>
    <w:p>
      <w:pPr>
        <w:jc w:val="center"/>
        <w:rPr>
          <w:sz w:val="44"/>
          <w:szCs w:val="44"/>
        </w:rPr>
      </w:pPr>
      <w:r>
        <w:rPr>
          <w:rFonts w:hint="eastAsia" w:ascii="Times New Roman" w:hAnsi="Times New Roman" w:cs="宋体"/>
          <w:sz w:val="44"/>
          <w:szCs w:val="44"/>
          <w:lang w:bidi="ar"/>
        </w:rPr>
        <w:t>一、</w:t>
      </w:r>
      <w:r>
        <w:rPr>
          <w:rFonts w:hint="eastAsia" w:ascii="Times New Roman" w:hAnsi="Times New Roman" w:cs="宋体"/>
          <w:b/>
          <w:sz w:val="44"/>
          <w:szCs w:val="44"/>
          <w:lang w:bidi="ar"/>
        </w:rPr>
        <w:t>单位基本情况及所申请资质等级类别</w:t>
      </w:r>
    </w:p>
    <w:p/>
    <w:tbl>
      <w:tblPr>
        <w:tblStyle w:val="6"/>
        <w:tblW w:w="14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exac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单位名称</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r>
              <w:rPr>
                <w:rFonts w:hint="eastAsia" w:ascii="Times New Roman" w:hAnsi="Times New Roman" w:cs="宋体"/>
                <w:bCs/>
                <w:sz w:val="24"/>
                <w:lang w:bidi="ar"/>
              </w:rPr>
              <w:t>广东省水利电力勘测设计研究院有限公司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单位性质</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r>
              <w:rPr>
                <w:rFonts w:hint="eastAsia" w:ascii="Times New Roman" w:hAnsi="Times New Roman" w:cs="宋体"/>
                <w:bCs/>
                <w:sz w:val="24"/>
                <w:lang w:bidi="ar"/>
              </w:rPr>
              <w:t>国有企业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注册地址</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r>
              <w:rPr>
                <w:rFonts w:ascii="Times New Roman" w:hAnsi="Times New Roman" w:cs="宋体"/>
                <w:bCs/>
                <w:sz w:val="24"/>
                <w:lang w:bidi="ar"/>
              </w:rPr>
              <w:t>广州市荔湾区荔湾路陈家祠道48号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法定代表人</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r>
              <w:rPr>
                <w:rFonts w:hint="eastAsia" w:ascii="Times New Roman" w:hAnsi="Times New Roman" w:cs="宋体"/>
                <w:bCs/>
                <w:sz w:val="24"/>
                <w:lang w:bidi="ar"/>
              </w:rPr>
              <w:t>王伟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8"/>
              </w:rPr>
            </w:pPr>
            <w:r>
              <w:rPr>
                <w:rFonts w:hint="eastAsia" w:ascii="Times New Roman" w:hAnsi="Times New Roman" w:cs="宋体"/>
                <w:b/>
                <w:sz w:val="24"/>
                <w:lang w:bidi="ar"/>
              </w:rPr>
              <w:t>已有资质等级类别</w:t>
            </w:r>
          </w:p>
        </w:tc>
        <w:tc>
          <w:tcPr>
            <w:tcW w:w="1188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宋体"/>
                <w:bCs/>
                <w:sz w:val="24"/>
                <w:lang w:bidi="ar"/>
              </w:rPr>
            </w:pPr>
            <w:r>
              <w:rPr>
                <w:rFonts w:hint="eastAsia" w:ascii="Times New Roman" w:hAnsi="Times New Roman" w:cs="宋体"/>
                <w:bCs/>
                <w:sz w:val="24"/>
                <w:lang w:bidi="ar"/>
              </w:rPr>
              <w:t>依据2014年政策：</w:t>
            </w:r>
          </w:p>
          <w:p>
            <w:pPr>
              <w:jc w:val="left"/>
              <w:rPr>
                <w:rFonts w:hint="eastAsia" w:ascii="Times New Roman" w:hAnsi="Times New Roman" w:cs="宋体"/>
                <w:bCs/>
                <w:sz w:val="24"/>
                <w:lang w:bidi="ar"/>
              </w:rPr>
            </w:pPr>
            <w:r>
              <w:rPr>
                <w:rFonts w:hint="eastAsia" w:ascii="Times New Roman" w:hAnsi="Times New Roman" w:cs="宋体"/>
                <w:bCs/>
                <w:sz w:val="24"/>
                <w:lang w:bidi="ar"/>
              </w:rPr>
              <w:t>甲级：工程测量；海洋测绘：海域权属测绘、海岸地形测量、水深测量、水文观测、海洋工程测量。***</w:t>
            </w:r>
          </w:p>
          <w:p>
            <w:pPr>
              <w:jc w:val="left"/>
              <w:rPr>
                <w:rFonts w:hint="eastAsia" w:ascii="Times New Roman" w:hAnsi="Times New Roman" w:cs="宋体"/>
                <w:bCs/>
                <w:sz w:val="24"/>
                <w:lang w:bidi="ar"/>
              </w:rPr>
            </w:pPr>
            <w:r>
              <w:rPr>
                <w:rFonts w:hint="eastAsia" w:ascii="Times New Roman" w:hAnsi="Times New Roman" w:cs="宋体"/>
                <w:bCs/>
                <w:sz w:val="24"/>
                <w:lang w:bidi="ar"/>
              </w:rPr>
              <w:t>乙级：摄影测量与遥感：摄影测量与遥感外业、摄影测量与遥感内业；地理信息系统工程：地理信息数据采集(设区的市级行政区域以下。)、地理信息数据处理(设区的市级行政区域以下。)、地理信息系统及数据库建设(设区的市级行政区域以下。)；不动产测绘：地籍测绘(日常地籍调查及设区的市级以下地籍总调查中的地籍测绘。)、房产测绘(规划许可证载单栋建筑面积10万平方米以下；单个合同标的不超过建筑面积200万平方米。)、行政区域界线测绘；测绘航空摄影：无人飞行器航摄(影像地面分辨率优于0.2m，50平方公里以下；0.2m，400平方公里以下；0.2m~1m，500平方公里以下。)。***</w:t>
            </w:r>
          </w:p>
          <w:p>
            <w:pPr>
              <w:jc w:val="left"/>
              <w:rPr>
                <w:rFonts w:ascii="Times New Roman" w:hAnsi="Times New Roman" w:cs="宋体"/>
                <w:bCs/>
                <w:sz w:val="24"/>
                <w:lang w:bidi="ar"/>
              </w:rPr>
            </w:pPr>
            <w:r>
              <w:rPr>
                <w:rFonts w:hint="eastAsia" w:ascii="Times New Roman" w:hAnsi="Times New Roman" w:cs="宋体"/>
                <w:bCs/>
                <w:sz w:val="24"/>
                <w:lang w:bidi="ar"/>
              </w:rPr>
              <w:t>依据2021年政策：</w:t>
            </w:r>
          </w:p>
          <w:p>
            <w:pPr>
              <w:jc w:val="left"/>
              <w:rPr>
                <w:rFonts w:ascii="Times New Roman" w:hAnsi="Times New Roman" w:cs="宋体"/>
                <w:bCs/>
                <w:sz w:val="24"/>
                <w:lang w:bidi="ar"/>
              </w:rPr>
            </w:pPr>
            <w:r>
              <w:rPr>
                <w:rFonts w:hint="eastAsia" w:ascii="Times New Roman" w:hAnsi="Times New Roman" w:cs="宋体"/>
                <w:bCs/>
                <w:sz w:val="24"/>
                <w:lang w:bidi="ar"/>
              </w:rPr>
              <w:t>甲级：测绘航空摄影、摄影测量与遥感、工程测量、海洋测绘、界线与不动产测绘、地理信息系统工程。***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申请资质等级类别</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r>
              <w:rPr>
                <w:rFonts w:hint="eastAsia" w:ascii="Times New Roman" w:hAnsi="Times New Roman" w:cs="宋体"/>
                <w:bCs/>
                <w:sz w:val="24"/>
                <w:lang w:bidi="ar"/>
              </w:rPr>
              <w:t>乙级：大地测量(不得从事二等及以上水准、三角、天文测量；不得从事B级及以上卫星定位测量；不得从事专业重力测量；不得承担卫星导航定位基准站建设和坐标参考框架服务)、地图编制(不得从事世界和全国政区地图、超出省级行政区域范围的教学地图编制)、互联网地图服务(不得从事地图数据库开发)。***</w:t>
            </w:r>
          </w:p>
        </w:tc>
      </w:tr>
    </w:tbl>
    <w:p/>
    <w:p>
      <w:pPr>
        <w:jc w:val="center"/>
        <w:rPr>
          <w:b/>
          <w:spacing w:val="70"/>
          <w:sz w:val="36"/>
        </w:rPr>
      </w:pPr>
    </w:p>
    <w:p>
      <w:pPr>
        <w:jc w:val="center"/>
        <w:rPr>
          <w:b/>
          <w:spacing w:val="70"/>
          <w:sz w:val="36"/>
        </w:rPr>
      </w:pPr>
    </w:p>
    <w:p>
      <w:pPr>
        <w:jc w:val="center"/>
      </w:pPr>
      <w:r>
        <w:rPr>
          <w:rFonts w:hint="eastAsia" w:ascii="Times New Roman" w:hAnsi="Times New Roman" w:cs="宋体"/>
          <w:b/>
          <w:sz w:val="44"/>
          <w:szCs w:val="44"/>
          <w:lang w:bidi="ar"/>
        </w:rPr>
        <w:t>二、专业技术人员</w:t>
      </w:r>
    </w:p>
    <w:p/>
    <w:tbl>
      <w:tblPr>
        <w:tblStyle w:val="6"/>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tcPr>
          <w:p>
            <w:pPr>
              <w:jc w:val="center"/>
              <w:rPr>
                <w:b/>
                <w:sz w:val="32"/>
              </w:rPr>
            </w:pPr>
            <w:r>
              <w:rPr>
                <w:rFonts w:hint="eastAsia" w:ascii="Times New Roman" w:hAnsi="Times New Roman" w:cs="宋体"/>
                <w:b/>
                <w:sz w:val="32"/>
                <w:lang w:bidi="ar"/>
              </w:rPr>
              <w:t>测绘专业高级技术人员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序号</w:t>
            </w:r>
          </w:p>
        </w:tc>
        <w:tc>
          <w:tcPr>
            <w:tcW w:w="309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vAlign w:val="center"/>
          </w:tcPr>
          <w:p>
            <w:pPr>
              <w:jc w:val="center"/>
              <w:rPr>
                <w:b/>
                <w:sz w:val="24"/>
              </w:rPr>
            </w:pPr>
          </w:p>
          <w:p>
            <w:pPr>
              <w:jc w:val="center"/>
              <w:rPr>
                <w:b/>
                <w:sz w:val="24"/>
              </w:rPr>
            </w:pPr>
            <w:r>
              <w:rPr>
                <w:rFonts w:hint="eastAsia" w:ascii="Times New Roman" w:hAnsi="Times New Roman"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sz w:val="24"/>
              </w:rPr>
            </w:pPr>
            <w:r>
              <w:rPr>
                <w:rFonts w:hint="eastAsia" w:ascii="宋体" w:hAnsi="宋体"/>
                <w:sz w:val="24"/>
              </w:rPr>
              <w:t>1</w:t>
            </w:r>
          </w:p>
        </w:tc>
        <w:tc>
          <w:tcPr>
            <w:tcW w:w="309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fldChar w:fldCharType="begin"/>
            </w:r>
            <w:r>
              <w:instrText xml:space="preserve"> HYPERLINK "javascript:__doPostBack('GvList$ctl02$Link_Name','')" </w:instrText>
            </w:r>
            <w:r>
              <w:fldChar w:fldCharType="separate"/>
            </w:r>
            <w:r>
              <w:rPr>
                <w:rFonts w:hint="eastAsia" w:ascii="宋体" w:hAnsi="宋体"/>
                <w:sz w:val="24"/>
              </w:rPr>
              <w:t>许叙源</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35</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2</w:t>
            </w:r>
          </w:p>
        </w:tc>
        <w:tc>
          <w:tcPr>
            <w:tcW w:w="309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fldChar w:fldCharType="begin"/>
            </w:r>
            <w:r>
              <w:instrText xml:space="preserve"> HYPERLINK "javascript:__doPostBack('GvList$ctl03$Link_Name','')" </w:instrText>
            </w:r>
            <w:r>
              <w:fldChar w:fldCharType="separate"/>
            </w:r>
            <w:r>
              <w:rPr>
                <w:rFonts w:hint="eastAsia" w:ascii="宋体" w:hAnsi="宋体"/>
                <w:sz w:val="24"/>
              </w:rPr>
              <w:t>李苑红</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女</w:t>
            </w:r>
          </w:p>
        </w:tc>
        <w:tc>
          <w:tcPr>
            <w:tcW w:w="22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43</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3</w:t>
            </w:r>
          </w:p>
        </w:tc>
        <w:tc>
          <w:tcPr>
            <w:tcW w:w="309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fldChar w:fldCharType="begin"/>
            </w:r>
            <w:r>
              <w:instrText xml:space="preserve"> HYPERLINK "javascript:__doPostBack('GvList$ctl04$Link_Name','')" </w:instrText>
            </w:r>
            <w:r>
              <w:fldChar w:fldCharType="separate"/>
            </w:r>
            <w:r>
              <w:rPr>
                <w:rFonts w:hint="eastAsia" w:ascii="宋体" w:hAnsi="宋体"/>
                <w:sz w:val="24"/>
              </w:rPr>
              <w:t>罗友文</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37</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4</w:t>
            </w:r>
          </w:p>
        </w:tc>
        <w:tc>
          <w:tcPr>
            <w:tcW w:w="309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fldChar w:fldCharType="begin"/>
            </w:r>
            <w:r>
              <w:instrText xml:space="preserve"> HYPERLINK "javascript:__doPostBack('GvList$ctl05$Link_Name','')" </w:instrText>
            </w:r>
            <w:r>
              <w:fldChar w:fldCharType="separate"/>
            </w:r>
            <w:r>
              <w:rPr>
                <w:rFonts w:hint="eastAsia" w:ascii="宋体" w:hAnsi="宋体"/>
                <w:sz w:val="24"/>
              </w:rPr>
              <w:t>张福友</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34</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5</w:t>
            </w:r>
          </w:p>
        </w:tc>
        <w:tc>
          <w:tcPr>
            <w:tcW w:w="309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fldChar w:fldCharType="begin"/>
            </w:r>
            <w:r>
              <w:instrText xml:space="preserve"> HYPERLINK "javascript:__doPostBack('GvList$ctl06$Link_Name','')" </w:instrText>
            </w:r>
            <w:r>
              <w:fldChar w:fldCharType="separate"/>
            </w:r>
            <w:r>
              <w:rPr>
                <w:rFonts w:hint="eastAsia" w:ascii="宋体" w:hAnsi="宋体"/>
                <w:sz w:val="24"/>
              </w:rPr>
              <w:t>李庆松</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36</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6</w:t>
            </w:r>
          </w:p>
        </w:tc>
        <w:tc>
          <w:tcPr>
            <w:tcW w:w="309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fldChar w:fldCharType="begin"/>
            </w:r>
            <w:r>
              <w:instrText xml:space="preserve"> HYPERLINK "javascript:__doPostBack('GvList$ctl07$Link_Name','')" </w:instrText>
            </w:r>
            <w:r>
              <w:fldChar w:fldCharType="separate"/>
            </w:r>
            <w:r>
              <w:rPr>
                <w:rFonts w:hint="eastAsia" w:ascii="宋体" w:hAnsi="宋体"/>
                <w:sz w:val="24"/>
              </w:rPr>
              <w:t>宋高伟</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33</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7</w:t>
            </w:r>
          </w:p>
        </w:tc>
        <w:tc>
          <w:tcPr>
            <w:tcW w:w="309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fldChar w:fldCharType="begin"/>
            </w:r>
            <w:r>
              <w:instrText xml:space="preserve"> HYPERLINK "javascript:__doPostBack('GvList$ctl08$Link_Name','')" </w:instrText>
            </w:r>
            <w:r>
              <w:fldChar w:fldCharType="separate"/>
            </w:r>
            <w:r>
              <w:rPr>
                <w:rFonts w:hint="eastAsia" w:ascii="宋体" w:hAnsi="宋体"/>
                <w:sz w:val="24"/>
              </w:rPr>
              <w:t>陈庆春</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45</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8</w:t>
            </w:r>
          </w:p>
        </w:tc>
        <w:tc>
          <w:tcPr>
            <w:tcW w:w="309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fldChar w:fldCharType="begin"/>
            </w:r>
            <w:r>
              <w:instrText xml:space="preserve"> HYPERLINK "javascript:__doPostBack('GvList$ctl09$Link_Name','')" </w:instrText>
            </w:r>
            <w:r>
              <w:fldChar w:fldCharType="separate"/>
            </w:r>
            <w:r>
              <w:rPr>
                <w:rFonts w:hint="eastAsia" w:ascii="宋体" w:hAnsi="宋体"/>
                <w:sz w:val="24"/>
              </w:rPr>
              <w:t>林真勇</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40</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9</w:t>
            </w:r>
          </w:p>
        </w:tc>
        <w:tc>
          <w:tcPr>
            <w:tcW w:w="309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fldChar w:fldCharType="begin"/>
            </w:r>
            <w:r>
              <w:instrText xml:space="preserve"> HYPERLINK "javascript:__doPostBack('GvList$ctl10$Link_Name','')" </w:instrText>
            </w:r>
            <w:r>
              <w:fldChar w:fldCharType="separate"/>
            </w:r>
            <w:r>
              <w:rPr>
                <w:rFonts w:hint="eastAsia" w:ascii="宋体" w:hAnsi="宋体"/>
                <w:sz w:val="24"/>
              </w:rPr>
              <w:t>谭凯婷</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女</w:t>
            </w:r>
          </w:p>
        </w:tc>
        <w:tc>
          <w:tcPr>
            <w:tcW w:w="22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36</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10</w:t>
            </w:r>
          </w:p>
        </w:tc>
        <w:tc>
          <w:tcPr>
            <w:tcW w:w="309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fldChar w:fldCharType="begin"/>
            </w:r>
            <w:r>
              <w:instrText xml:space="preserve"> HYPERLINK "javascript:__doPostBack('GvList$ctl11$Link_Name','')" </w:instrText>
            </w:r>
            <w:r>
              <w:fldChar w:fldCharType="separate"/>
            </w:r>
            <w:r>
              <w:rPr>
                <w:rFonts w:hint="eastAsia" w:ascii="宋体" w:hAnsi="宋体"/>
                <w:sz w:val="24"/>
              </w:rPr>
              <w:t>徐峰</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40</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11</w:t>
            </w:r>
          </w:p>
        </w:tc>
        <w:tc>
          <w:tcPr>
            <w:tcW w:w="309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fldChar w:fldCharType="begin"/>
            </w:r>
            <w:r>
              <w:instrText xml:space="preserve"> HYPERLINK "javascript:__doPostBack('GvList$ctl12$Link_Name','')" </w:instrText>
            </w:r>
            <w:r>
              <w:fldChar w:fldCharType="separate"/>
            </w:r>
            <w:r>
              <w:rPr>
                <w:rFonts w:hint="eastAsia" w:ascii="宋体" w:hAnsi="宋体"/>
                <w:sz w:val="24"/>
              </w:rPr>
              <w:t>问娟</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女</w:t>
            </w:r>
          </w:p>
        </w:tc>
        <w:tc>
          <w:tcPr>
            <w:tcW w:w="22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45</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12</w:t>
            </w:r>
          </w:p>
        </w:tc>
        <w:tc>
          <w:tcPr>
            <w:tcW w:w="309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fldChar w:fldCharType="begin"/>
            </w:r>
            <w:r>
              <w:instrText xml:space="preserve"> HYPERLINK "javascript:__doPostBack('GvList$ctl13$Link_Name','')" </w:instrText>
            </w:r>
            <w:r>
              <w:fldChar w:fldCharType="separate"/>
            </w:r>
            <w:r>
              <w:rPr>
                <w:rFonts w:hint="eastAsia" w:ascii="宋体" w:hAnsi="宋体"/>
                <w:sz w:val="24"/>
              </w:rPr>
              <w:t>朱强</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44</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13</w:t>
            </w:r>
          </w:p>
        </w:tc>
        <w:tc>
          <w:tcPr>
            <w:tcW w:w="309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fldChar w:fldCharType="begin"/>
            </w:r>
            <w:r>
              <w:instrText xml:space="preserve"> HYPERLINK "javascript:__doPostBack('GvList$ctl14$Link_Name','')" </w:instrText>
            </w:r>
            <w:r>
              <w:fldChar w:fldCharType="separate"/>
            </w:r>
            <w:r>
              <w:rPr>
                <w:rFonts w:hint="eastAsia" w:ascii="宋体" w:hAnsi="宋体"/>
                <w:sz w:val="24"/>
              </w:rPr>
              <w:t>刘良福</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46</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14</w:t>
            </w:r>
          </w:p>
        </w:tc>
        <w:tc>
          <w:tcPr>
            <w:tcW w:w="309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fldChar w:fldCharType="begin"/>
            </w:r>
            <w:r>
              <w:instrText xml:space="preserve"> HYPERLINK "javascript:__doPostBack('GvList$ctl15$Link_Name','')" </w:instrText>
            </w:r>
            <w:r>
              <w:fldChar w:fldCharType="separate"/>
            </w:r>
            <w:r>
              <w:rPr>
                <w:rFonts w:hint="eastAsia" w:ascii="宋体" w:hAnsi="宋体"/>
                <w:sz w:val="24"/>
              </w:rPr>
              <w:t>蓝宇</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55</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15</w:t>
            </w:r>
          </w:p>
        </w:tc>
        <w:tc>
          <w:tcPr>
            <w:tcW w:w="309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fldChar w:fldCharType="begin"/>
            </w:r>
            <w:r>
              <w:instrText xml:space="preserve"> HYPERLINK "javascript:__doPostBack('GvList$ctl16$Link_Name','')" </w:instrText>
            </w:r>
            <w:r>
              <w:fldChar w:fldCharType="separate"/>
            </w:r>
            <w:r>
              <w:rPr>
                <w:rFonts w:hint="eastAsia" w:ascii="宋体" w:hAnsi="宋体"/>
                <w:sz w:val="24"/>
              </w:rPr>
              <w:t>陈远洪</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54</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16</w:t>
            </w:r>
          </w:p>
        </w:tc>
        <w:tc>
          <w:tcPr>
            <w:tcW w:w="309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fldChar w:fldCharType="begin"/>
            </w:r>
            <w:r>
              <w:instrText xml:space="preserve"> HYPERLINK "javascript:__doPostBack('GvList$ctl17$Link_Name','')" </w:instrText>
            </w:r>
            <w:r>
              <w:fldChar w:fldCharType="separate"/>
            </w:r>
            <w:r>
              <w:rPr>
                <w:rFonts w:hint="eastAsia" w:ascii="宋体" w:hAnsi="宋体"/>
                <w:sz w:val="24"/>
              </w:rPr>
              <w:t>陈俊彪</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53</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17</w:t>
            </w:r>
          </w:p>
        </w:tc>
        <w:tc>
          <w:tcPr>
            <w:tcW w:w="309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fldChar w:fldCharType="begin"/>
            </w:r>
            <w:r>
              <w:instrText xml:space="preserve"> HYPERLINK "javascript:__doPostBack('GvList$ctl18$Link_Name','')" </w:instrText>
            </w:r>
            <w:r>
              <w:fldChar w:fldCharType="separate"/>
            </w:r>
            <w:r>
              <w:rPr>
                <w:rFonts w:hint="eastAsia" w:ascii="宋体" w:hAnsi="宋体"/>
                <w:sz w:val="24"/>
              </w:rPr>
              <w:t>陈汉松</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51</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18</w:t>
            </w:r>
          </w:p>
        </w:tc>
        <w:tc>
          <w:tcPr>
            <w:tcW w:w="309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fldChar w:fldCharType="begin"/>
            </w:r>
            <w:r>
              <w:instrText xml:space="preserve"> HYPERLINK "javascript:__doPostBack('GvList$ctl19$Link_Name','')" </w:instrText>
            </w:r>
            <w:r>
              <w:fldChar w:fldCharType="separate"/>
            </w:r>
            <w:r>
              <w:rPr>
                <w:rFonts w:hint="eastAsia" w:ascii="宋体" w:hAnsi="宋体"/>
                <w:sz w:val="24"/>
              </w:rPr>
              <w:t>张占勇</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42</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19</w:t>
            </w:r>
          </w:p>
        </w:tc>
        <w:tc>
          <w:tcPr>
            <w:tcW w:w="309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fldChar w:fldCharType="begin"/>
            </w:r>
            <w:r>
              <w:instrText xml:space="preserve"> HYPERLINK "javascript:__doPostBack('GvList$ctl20$Link_Name','')" </w:instrText>
            </w:r>
            <w:r>
              <w:fldChar w:fldCharType="separate"/>
            </w:r>
            <w:r>
              <w:rPr>
                <w:rFonts w:hint="eastAsia" w:ascii="宋体" w:hAnsi="宋体"/>
                <w:sz w:val="24"/>
              </w:rPr>
              <w:t>蔡锐武</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hint="eastAsia" w:ascii="宋体" w:hAnsi="宋体"/>
                <w:sz w:val="24"/>
              </w:rPr>
              <w:t>55</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20</w:t>
            </w:r>
          </w:p>
        </w:tc>
        <w:tc>
          <w:tcPr>
            <w:tcW w:w="309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fldChar w:fldCharType="begin"/>
            </w:r>
            <w:r>
              <w:instrText xml:space="preserve"> HYPERLINK "javascript:__doPostBack('GvList$ctl21$Link_Name','')" </w:instrText>
            </w:r>
            <w:r>
              <w:fldChar w:fldCharType="separate"/>
            </w:r>
            <w:r>
              <w:rPr>
                <w:rFonts w:hint="eastAsia" w:ascii="宋体" w:hAnsi="宋体"/>
                <w:sz w:val="24"/>
              </w:rPr>
              <w:t>杨波</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hint="eastAsia" w:ascii="宋体" w:hAnsi="宋体"/>
                <w:sz w:val="24"/>
              </w:rPr>
              <w:t>55</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05" w:right="-105"/>
              <w:jc w:val="center"/>
              <w:rPr>
                <w:rFonts w:hint="eastAsia"/>
              </w:rPr>
            </w:pPr>
            <w:r>
              <w:rPr>
                <w:rFonts w:hint="eastAsia"/>
              </w:rPr>
              <w:t>　</w:t>
            </w:r>
          </w:p>
        </w:tc>
      </w:tr>
    </w:tbl>
    <w:p/>
    <w:p>
      <w:pPr>
        <w:rPr>
          <w:rFonts w:hint="eastAsia"/>
        </w:rPr>
      </w:pPr>
    </w:p>
    <w:p/>
    <w:p/>
    <w:p/>
    <w:p/>
    <w:p>
      <w:pPr>
        <w:rPr>
          <w:rFonts w:hint="eastAsia"/>
        </w:rPr>
      </w:pPr>
    </w:p>
    <w:tbl>
      <w:tblPr>
        <w:tblStyle w:val="6"/>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tcPr>
          <w:p>
            <w:pPr>
              <w:jc w:val="center"/>
              <w:rPr>
                <w:b/>
                <w:sz w:val="32"/>
              </w:rPr>
            </w:pPr>
            <w:r>
              <w:rPr>
                <w:rFonts w:hint="eastAsia" w:ascii="Times New Roman" w:hAnsi="Times New Roman" w:cs="宋体"/>
                <w:b/>
                <w:sz w:val="32"/>
                <w:lang w:bidi="ar"/>
              </w:rPr>
              <w:t>测绘专业中级技术人员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序号</w:t>
            </w:r>
          </w:p>
        </w:tc>
        <w:tc>
          <w:tcPr>
            <w:tcW w:w="309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sz w:val="24"/>
              </w:rPr>
            </w:pPr>
            <w:r>
              <w:rPr>
                <w:rFonts w:ascii="宋体" w:hAnsi="宋体"/>
                <w:sz w:val="24"/>
              </w:rPr>
              <w:t>1</w:t>
            </w:r>
          </w:p>
        </w:tc>
        <w:tc>
          <w:tcPr>
            <w:tcW w:w="309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sz w:val="24"/>
              </w:rPr>
            </w:pPr>
            <w:r>
              <w:fldChar w:fldCharType="begin"/>
            </w:r>
            <w:r>
              <w:instrText xml:space="preserve"> HYPERLINK "javascript:__doPostBack('GvList$ctl02$Link_Name','')" </w:instrText>
            </w:r>
            <w:r>
              <w:fldChar w:fldCharType="separate"/>
            </w:r>
            <w:r>
              <w:rPr>
                <w:rFonts w:hint="eastAsia" w:ascii="宋体" w:hAnsi="宋体"/>
                <w:sz w:val="24"/>
              </w:rPr>
              <w:t>马天亮</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sz w:val="24"/>
              </w:rPr>
            </w:pPr>
            <w:r>
              <w:rPr>
                <w:rFonts w:ascii="宋体" w:hAnsi="宋体"/>
                <w:sz w:val="24"/>
              </w:rPr>
              <w:t>37</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ascii="宋体" w:hAnsi="宋体"/>
                <w:sz w:val="24"/>
              </w:rPr>
              <w:t>2</w:t>
            </w:r>
          </w:p>
        </w:tc>
        <w:tc>
          <w:tcPr>
            <w:tcW w:w="3090"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ascii="宋体" w:hAnsi="宋体"/>
                <w:sz w:val="24"/>
              </w:rPr>
            </w:pPr>
            <w:r>
              <w:fldChar w:fldCharType="begin"/>
            </w:r>
            <w:r>
              <w:instrText xml:space="preserve"> HYPERLINK "javascript:__doPostBack('GvList$ctl03$Link_Name','')" </w:instrText>
            </w:r>
            <w:r>
              <w:fldChar w:fldCharType="separate"/>
            </w:r>
            <w:r>
              <w:rPr>
                <w:rFonts w:hint="eastAsia" w:ascii="宋体" w:hAnsi="宋体"/>
                <w:sz w:val="24"/>
              </w:rPr>
              <w:t>陈桥忠</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hint="eastAsia" w:ascii="宋体" w:hAnsi="宋体"/>
                <w:sz w:val="24"/>
              </w:rPr>
            </w:pPr>
            <w:r>
              <w:rPr>
                <w:rFonts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BFBFD"/>
            <w:vAlign w:val="center"/>
          </w:tcPr>
          <w:p>
            <w:pPr>
              <w:jc w:val="center"/>
              <w:rPr>
                <w:rFonts w:ascii="宋体" w:hAnsi="宋体"/>
                <w:sz w:val="24"/>
              </w:rPr>
            </w:pPr>
            <w:r>
              <w:rPr>
                <w:rFonts w:ascii="宋体" w:hAnsi="宋体"/>
                <w:sz w:val="24"/>
              </w:rPr>
              <w:t>34</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ascii="宋体" w:hAnsi="宋体"/>
                <w:sz w:val="24"/>
              </w:rPr>
              <w:t>3</w:t>
            </w:r>
          </w:p>
        </w:tc>
        <w:tc>
          <w:tcPr>
            <w:tcW w:w="309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sz w:val="24"/>
              </w:rPr>
            </w:pPr>
            <w:r>
              <w:fldChar w:fldCharType="begin"/>
            </w:r>
            <w:r>
              <w:instrText xml:space="preserve"> HYPERLINK "javascript:__doPostBack('GvList$ctl04$Link_Name','')" </w:instrText>
            </w:r>
            <w:r>
              <w:fldChar w:fldCharType="separate"/>
            </w:r>
            <w:r>
              <w:rPr>
                <w:rFonts w:hint="eastAsia" w:ascii="宋体" w:hAnsi="宋体"/>
                <w:sz w:val="24"/>
              </w:rPr>
              <w:t>黄潮民</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sz w:val="24"/>
              </w:rPr>
            </w:pPr>
            <w:r>
              <w:rPr>
                <w:rFonts w:ascii="宋体" w:hAnsi="宋体"/>
                <w:sz w:val="24"/>
              </w:rPr>
              <w:t>47</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ascii="宋体" w:hAnsi="宋体"/>
                <w:sz w:val="24"/>
              </w:rPr>
              <w:t>4</w:t>
            </w:r>
          </w:p>
        </w:tc>
        <w:tc>
          <w:tcPr>
            <w:tcW w:w="309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sz w:val="24"/>
              </w:rPr>
            </w:pPr>
            <w:r>
              <w:fldChar w:fldCharType="begin"/>
            </w:r>
            <w:r>
              <w:instrText xml:space="preserve"> HYPERLINK "javascript:__doPostBack('GvList$ctl05$Link_Name','')" </w:instrText>
            </w:r>
            <w:r>
              <w:fldChar w:fldCharType="separate"/>
            </w:r>
            <w:r>
              <w:rPr>
                <w:rFonts w:hint="eastAsia" w:ascii="宋体" w:hAnsi="宋体"/>
                <w:sz w:val="24"/>
              </w:rPr>
              <w:t>李煜东</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sz w:val="24"/>
              </w:rPr>
            </w:pPr>
            <w:r>
              <w:rPr>
                <w:rFonts w:ascii="宋体" w:hAnsi="宋体"/>
                <w:sz w:val="24"/>
              </w:rPr>
              <w:t>28</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ascii="宋体" w:hAnsi="宋体"/>
                <w:sz w:val="24"/>
              </w:rPr>
              <w:t>5</w:t>
            </w:r>
          </w:p>
        </w:tc>
        <w:tc>
          <w:tcPr>
            <w:tcW w:w="309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sz w:val="24"/>
              </w:rPr>
            </w:pPr>
            <w:r>
              <w:fldChar w:fldCharType="begin"/>
            </w:r>
            <w:r>
              <w:instrText xml:space="preserve"> HYPERLINK "javascript:__doPostBack('GvList$ctl06$Link_Name','')" </w:instrText>
            </w:r>
            <w:r>
              <w:fldChar w:fldCharType="separate"/>
            </w:r>
            <w:r>
              <w:rPr>
                <w:rFonts w:hint="eastAsia" w:ascii="宋体" w:hAnsi="宋体"/>
                <w:sz w:val="24"/>
              </w:rPr>
              <w:t>梁国</w:t>
            </w:r>
            <w:r>
              <w:rPr>
                <w:rFonts w:hint="eastAsia" w:ascii="宋体" w:hAnsi="宋体"/>
                <w:sz w:val="24"/>
              </w:rPr>
              <w:fldChar w:fldCharType="end"/>
            </w:r>
          </w:p>
        </w:tc>
        <w:tc>
          <w:tcPr>
            <w:tcW w:w="25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sz w:val="24"/>
              </w:rPr>
            </w:pPr>
            <w:r>
              <w:rPr>
                <w:rFonts w:ascii="宋体" w:hAnsi="宋体"/>
                <w:sz w:val="24"/>
              </w:rPr>
              <w:t>男</w:t>
            </w:r>
          </w:p>
        </w:tc>
        <w:tc>
          <w:tcPr>
            <w:tcW w:w="229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sz w:val="24"/>
              </w:rPr>
            </w:pPr>
            <w:r>
              <w:rPr>
                <w:rFonts w:ascii="宋体" w:hAnsi="宋体"/>
                <w:sz w:val="24"/>
              </w:rPr>
              <w:t>32</w:t>
            </w:r>
          </w:p>
        </w:tc>
        <w:tc>
          <w:tcPr>
            <w:tcW w:w="49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24"/>
              </w:rPr>
            </w:pPr>
          </w:p>
        </w:tc>
      </w:tr>
    </w:tbl>
    <w:p/>
    <w:p/>
    <w:tbl>
      <w:tblPr>
        <w:tblStyle w:val="6"/>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161"/>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tcPr>
          <w:p>
            <w:pPr>
              <w:jc w:val="center"/>
              <w:rPr>
                <w:b/>
                <w:sz w:val="32"/>
              </w:rPr>
            </w:pPr>
            <w:r>
              <w:rPr>
                <w:rFonts w:hint="eastAsia" w:ascii="Times New Roman" w:hAnsi="Times New Roman" w:cs="宋体"/>
                <w:b/>
                <w:sz w:val="32"/>
                <w:lang w:bidi="ar"/>
              </w:rPr>
              <w:t>测绘专业初级技术人员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6"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序号</w:t>
            </w:r>
          </w:p>
        </w:tc>
        <w:tc>
          <w:tcPr>
            <w:tcW w:w="3161"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ahoma" w:hAnsi="Tahoma" w:eastAsia="等线" w:cs="Tahoma"/>
                <w:kern w:val="0"/>
                <w:sz w:val="22"/>
                <w:szCs w:val="22"/>
              </w:rPr>
            </w:pPr>
          </w:p>
        </w:tc>
        <w:tc>
          <w:tcPr>
            <w:tcW w:w="3161" w:type="dxa"/>
            <w:tcBorders>
              <w:top w:val="single" w:color="auto" w:sz="4" w:space="0"/>
              <w:left w:val="single" w:color="auto" w:sz="4" w:space="0"/>
              <w:bottom w:val="single" w:color="auto" w:sz="4" w:space="0"/>
              <w:right w:val="single" w:color="auto" w:sz="4" w:space="0"/>
            </w:tcBorders>
            <w:vAlign w:val="center"/>
          </w:tcPr>
          <w:p>
            <w:pPr>
              <w:jc w:val="center"/>
              <w:rPr>
                <w:rFonts w:ascii="Tahoma" w:hAnsi="Tahoma" w:eastAsia="等线" w:cs="Tahoma"/>
                <w:kern w:val="0"/>
                <w:sz w:val="22"/>
                <w:szCs w:val="22"/>
              </w:rPr>
            </w:pP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rFonts w:ascii="Tahoma" w:hAnsi="Tahoma" w:eastAsia="等线" w:cs="Tahoma"/>
                <w:kern w:val="0"/>
                <w:sz w:val="22"/>
                <w:szCs w:val="22"/>
              </w:rPr>
            </w:pP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Tahoma" w:hAnsi="Tahoma" w:eastAsia="等线" w:cs="Tahoma"/>
                <w:kern w:val="0"/>
                <w:sz w:val="22"/>
                <w:szCs w:val="22"/>
              </w:rPr>
            </w:pP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ahoma" w:hAnsi="Tahoma" w:eastAsia="等线" w:cs="Tahoma"/>
                <w:kern w:val="0"/>
                <w:sz w:val="22"/>
                <w:szCs w:val="22"/>
              </w:rPr>
            </w:pPr>
          </w:p>
        </w:tc>
        <w:tc>
          <w:tcPr>
            <w:tcW w:w="31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ahoma" w:hAnsi="Tahoma" w:eastAsia="等线" w:cs="Tahoma"/>
                <w:kern w:val="0"/>
                <w:sz w:val="22"/>
                <w:szCs w:val="22"/>
              </w:rPr>
            </w:pPr>
          </w:p>
        </w:tc>
        <w:tc>
          <w:tcPr>
            <w:tcW w:w="2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ahoma" w:hAnsi="Tahoma" w:eastAsia="等线" w:cs="Tahoma"/>
                <w:kern w:val="0"/>
                <w:sz w:val="22"/>
                <w:szCs w:val="22"/>
              </w:rPr>
            </w:pPr>
          </w:p>
        </w:tc>
        <w:tc>
          <w:tcPr>
            <w:tcW w:w="22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ahoma" w:hAnsi="Tahoma" w:eastAsia="等线" w:cs="Tahoma"/>
                <w:kern w:val="0"/>
                <w:sz w:val="22"/>
                <w:szCs w:val="22"/>
              </w:rPr>
            </w:pP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r>
    </w:tbl>
    <w:p>
      <w:r>
        <w:rPr>
          <w:rFonts w:ascii="Times New Roman" w:hAnsi="Times New Roman"/>
          <w:lang w:bidi="ar"/>
        </w:rPr>
        <w:t>#</w:t>
      </w:r>
      <w:r>
        <w:rPr>
          <w:rFonts w:hint="eastAsia" w:ascii="Times New Roman" w:hAnsi="Times New Roman" w:cs="宋体"/>
          <w:lang w:bidi="ar"/>
        </w:rPr>
        <w:t>为</w:t>
      </w:r>
      <w:r>
        <w:rPr>
          <w:rFonts w:ascii="Times New Roman" w:hAnsi="Times New Roman"/>
          <w:lang w:bidi="ar"/>
        </w:rPr>
        <w:t>2021</w:t>
      </w:r>
      <w:r>
        <w:rPr>
          <w:rFonts w:hint="eastAsia" w:ascii="Times New Roman" w:hAnsi="Times New Roman" w:cs="宋体"/>
          <w:lang w:bidi="ar"/>
        </w:rPr>
        <w:t>版新测绘资质管理政策实施前测绘单位已有的用于申请测绘资质的专业技术人员。按照《测绘资质分类分级标准》，这部分人员在不离开本单位的前提下，实行“老人老办法”，原认定的专业和职称等级继续有效。</w:t>
      </w:r>
    </w:p>
    <w:p/>
    <w:p/>
    <w:tbl>
      <w:tblPr>
        <w:tblStyle w:val="6"/>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019"/>
        <w:gridCol w:w="2610"/>
        <w:gridCol w:w="2295"/>
        <w:gridCol w:w="4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tcPr>
          <w:p>
            <w:pPr>
              <w:jc w:val="center"/>
              <w:rPr>
                <w:b/>
                <w:sz w:val="32"/>
              </w:rPr>
            </w:pPr>
            <w:r>
              <w:rPr>
                <w:rFonts w:hint="eastAsia" w:ascii="Times New Roman" w:hAnsi="Times New Roman" w:cs="宋体"/>
                <w:b/>
                <w:sz w:val="32"/>
                <w:lang w:bidi="ar"/>
              </w:rPr>
              <w:t>测绘相关专业技术人员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6" w:hRule="exact"/>
          <w:jc w:val="center"/>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序号</w:t>
            </w: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姓名</w:t>
            </w:r>
          </w:p>
        </w:tc>
        <w:tc>
          <w:tcPr>
            <w:tcW w:w="261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年龄</w:t>
            </w:r>
          </w:p>
        </w:tc>
        <w:tc>
          <w:tcPr>
            <w:tcW w:w="4979"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26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26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jc w:val="center"/>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26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r>
    </w:tbl>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rFonts w:hint="eastAsia"/>
          <w:b/>
          <w:sz w:val="44"/>
          <w:szCs w:val="44"/>
        </w:rPr>
      </w:pPr>
    </w:p>
    <w:p>
      <w:pPr>
        <w:jc w:val="center"/>
      </w:pPr>
      <w:r>
        <w:rPr>
          <w:rFonts w:hint="eastAsia" w:ascii="Times New Roman" w:hAnsi="Times New Roman" w:cs="宋体"/>
          <w:b/>
          <w:sz w:val="44"/>
          <w:szCs w:val="44"/>
          <w:lang w:bidi="ar"/>
        </w:rPr>
        <w:t>三、技术装备</w:t>
      </w:r>
    </w:p>
    <w:p/>
    <w:p/>
    <w:tbl>
      <w:tblPr>
        <w:tblStyle w:val="6"/>
        <w:tblW w:w="1416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5348"/>
        <w:gridCol w:w="5703"/>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4" w:hRule="exact"/>
        </w:trPr>
        <w:tc>
          <w:tcPr>
            <w:tcW w:w="1856" w:type="dxa"/>
            <w:tcBorders>
              <w:top w:val="single" w:color="auto" w:sz="4" w:space="0"/>
              <w:left w:val="single" w:color="auto" w:sz="4" w:space="0"/>
              <w:bottom w:val="single" w:color="auto" w:sz="4" w:space="0"/>
              <w:right w:val="single" w:color="auto" w:sz="4" w:space="0"/>
            </w:tcBorders>
            <w:vAlign w:val="center"/>
          </w:tcPr>
          <w:p>
            <w:pPr>
              <w:jc w:val="center"/>
              <w:rPr>
                <w:b/>
                <w:sz w:val="32"/>
                <w:szCs w:val="32"/>
              </w:rPr>
            </w:pPr>
            <w:r>
              <w:rPr>
                <w:rFonts w:hint="eastAsia" w:ascii="Times New Roman" w:hAnsi="Times New Roman" w:cs="宋体"/>
                <w:b/>
                <w:sz w:val="32"/>
                <w:szCs w:val="32"/>
                <w:lang w:bidi="ar"/>
              </w:rPr>
              <w:t>序号</w:t>
            </w:r>
          </w:p>
        </w:tc>
        <w:tc>
          <w:tcPr>
            <w:tcW w:w="5348" w:type="dxa"/>
            <w:tcBorders>
              <w:top w:val="single" w:color="auto" w:sz="4" w:space="0"/>
              <w:left w:val="single" w:color="auto" w:sz="4" w:space="0"/>
              <w:bottom w:val="single" w:color="auto" w:sz="4" w:space="0"/>
              <w:right w:val="single" w:color="auto" w:sz="4" w:space="0"/>
            </w:tcBorders>
            <w:vAlign w:val="center"/>
          </w:tcPr>
          <w:p>
            <w:pPr>
              <w:jc w:val="center"/>
              <w:rPr>
                <w:b/>
                <w:sz w:val="32"/>
                <w:szCs w:val="32"/>
              </w:rPr>
            </w:pPr>
            <w:r>
              <w:rPr>
                <w:rFonts w:hint="eastAsia" w:ascii="Times New Roman" w:hAnsi="Times New Roman" w:cs="宋体"/>
                <w:b/>
                <w:sz w:val="32"/>
                <w:szCs w:val="32"/>
                <w:lang w:bidi="ar"/>
              </w:rPr>
              <w:t>技术装备类型和精度</w:t>
            </w:r>
          </w:p>
        </w:tc>
        <w:tc>
          <w:tcPr>
            <w:tcW w:w="5703" w:type="dxa"/>
            <w:tcBorders>
              <w:top w:val="single" w:color="auto" w:sz="4" w:space="0"/>
              <w:left w:val="single" w:color="auto" w:sz="4" w:space="0"/>
              <w:bottom w:val="single" w:color="auto" w:sz="4" w:space="0"/>
              <w:right w:val="single" w:color="auto" w:sz="4" w:space="0"/>
            </w:tcBorders>
            <w:vAlign w:val="center"/>
          </w:tcPr>
          <w:p>
            <w:pPr>
              <w:jc w:val="center"/>
              <w:rPr>
                <w:b/>
                <w:sz w:val="32"/>
                <w:szCs w:val="32"/>
              </w:rPr>
            </w:pPr>
            <w:r>
              <w:rPr>
                <w:rFonts w:hint="eastAsia" w:ascii="Times New Roman" w:hAnsi="Times New Roman" w:cs="宋体"/>
                <w:b/>
                <w:sz w:val="32"/>
                <w:szCs w:val="32"/>
                <w:lang w:bidi="ar"/>
              </w:rPr>
              <w:t>技术装备品牌型号</w:t>
            </w:r>
          </w:p>
        </w:tc>
        <w:tc>
          <w:tcPr>
            <w:tcW w:w="1256" w:type="dxa"/>
            <w:tcBorders>
              <w:top w:val="single" w:color="auto" w:sz="4" w:space="0"/>
              <w:left w:val="single" w:color="auto" w:sz="4" w:space="0"/>
              <w:bottom w:val="single" w:color="auto" w:sz="4" w:space="0"/>
              <w:right w:val="single" w:color="auto" w:sz="4" w:space="0"/>
            </w:tcBorders>
            <w:vAlign w:val="center"/>
          </w:tcPr>
          <w:p>
            <w:pPr>
              <w:jc w:val="center"/>
              <w:rPr>
                <w:b/>
                <w:sz w:val="32"/>
                <w:szCs w:val="32"/>
              </w:rPr>
            </w:pPr>
            <w:r>
              <w:rPr>
                <w:rFonts w:hint="eastAsia" w:ascii="Times New Roman" w:hAnsi="Times New Roman" w:cs="宋体"/>
                <w:b/>
                <w:sz w:val="32"/>
                <w:szCs w:val="32"/>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 w:val="24"/>
              </w:rPr>
            </w:pPr>
            <w:r>
              <w:rPr>
                <w:rFonts w:hint="eastAsia" w:ascii="宋体" w:hAnsi="宋体" w:cs="Tahoma"/>
                <w:kern w:val="0"/>
                <w:sz w:val="24"/>
              </w:rPr>
              <w:t>1</w:t>
            </w:r>
          </w:p>
        </w:tc>
        <w:tc>
          <w:tcPr>
            <w:tcW w:w="53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fldChar w:fldCharType="begin"/>
            </w:r>
            <w:r>
              <w:instrText xml:space="preserve"> HYPERLINK "javascript:__doPostBack('GvData$ctl02$Link_EquipmentName','')" </w:instrText>
            </w:r>
            <w:r>
              <w:fldChar w:fldCharType="separate"/>
            </w:r>
            <w:r>
              <w:rPr>
                <w:rStyle w:val="5"/>
                <w:rFonts w:hint="eastAsia" w:ascii="宋体" w:hAnsi="宋体"/>
                <w:color w:val="auto"/>
                <w:sz w:val="24"/>
                <w:u w:val="none"/>
              </w:rPr>
              <w:t>GNSS接收机（不低于5mm+1ppm精度）</w:t>
            </w:r>
            <w:r>
              <w:rPr>
                <w:rStyle w:val="5"/>
                <w:rFonts w:hint="eastAsia" w:ascii="宋体" w:hAnsi="宋体"/>
                <w:color w:val="auto"/>
                <w:sz w:val="24"/>
                <w:u w:val="none"/>
              </w:rPr>
              <w:fldChar w:fldCharType="end"/>
            </w:r>
          </w:p>
        </w:tc>
        <w:tc>
          <w:tcPr>
            <w:tcW w:w="570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cs="Tahoma"/>
                <w:sz w:val="24"/>
              </w:rPr>
            </w:pPr>
            <w:r>
              <w:rPr>
                <w:rFonts w:ascii="宋体" w:hAnsi="宋体" w:cs="Tahoma"/>
                <w:sz w:val="24"/>
              </w:rPr>
              <w:t>IRTK2</w:t>
            </w:r>
          </w:p>
        </w:tc>
        <w:tc>
          <w:tcPr>
            <w:tcW w:w="1256" w:type="dxa"/>
            <w:tcBorders>
              <w:top w:val="single" w:color="auto" w:sz="4" w:space="0"/>
              <w:left w:val="single" w:color="auto" w:sz="4" w:space="0"/>
              <w:bottom w:val="single" w:color="auto" w:sz="4" w:space="0"/>
              <w:right w:val="single" w:color="auto" w:sz="4" w:space="0"/>
            </w:tcBorders>
          </w:tcPr>
          <w:p>
            <w:pPr>
              <w:jc w:val="center"/>
              <w:rPr>
                <w:rFonts w:ascii="宋体" w:hAnsi="宋体" w:cs="宋体"/>
                <w:bCs/>
                <w:sz w:val="24"/>
                <w:lang w:bidi="ar"/>
              </w:rPr>
            </w:pPr>
            <w:r>
              <w:rPr>
                <w:rFonts w:hint="eastAsia" w:ascii="宋体" w:hAnsi="宋体" w:cs="宋体"/>
                <w:bCs/>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宋体" w:hAnsi="宋体" w:cs="Tahoma"/>
                <w:kern w:val="0"/>
                <w:sz w:val="24"/>
              </w:rPr>
            </w:pPr>
            <w:r>
              <w:rPr>
                <w:rFonts w:hint="eastAsia" w:ascii="宋体" w:hAnsi="宋体" w:cs="Tahoma"/>
                <w:kern w:val="0"/>
                <w:sz w:val="24"/>
              </w:rPr>
              <w:t>2</w:t>
            </w:r>
          </w:p>
        </w:tc>
        <w:tc>
          <w:tcPr>
            <w:tcW w:w="5348"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ascii="宋体" w:hAnsi="宋体" w:cs="Tahoma"/>
                <w:sz w:val="24"/>
              </w:rPr>
            </w:pPr>
            <w:r>
              <w:fldChar w:fldCharType="begin"/>
            </w:r>
            <w:r>
              <w:instrText xml:space="preserve"> HYPERLINK "javascript:__doPostBack('GvData$ctl08$Link_EquipmentName','')" </w:instrText>
            </w:r>
            <w:r>
              <w:fldChar w:fldCharType="separate"/>
            </w:r>
            <w:r>
              <w:rPr>
                <w:rStyle w:val="5"/>
                <w:rFonts w:ascii="宋体" w:hAnsi="宋体" w:cs="Tahoma"/>
                <w:color w:val="auto"/>
                <w:sz w:val="24"/>
                <w:u w:val="none"/>
              </w:rPr>
              <w:t>GNSS接收机（不低于5mm+1ppm精度）</w:t>
            </w:r>
            <w:r>
              <w:rPr>
                <w:rStyle w:val="5"/>
                <w:rFonts w:ascii="宋体" w:hAnsi="宋体" w:cs="Tahoma"/>
                <w:color w:val="auto"/>
                <w:sz w:val="24"/>
                <w:u w:val="none"/>
              </w:rPr>
              <w:fldChar w:fldCharType="end"/>
            </w:r>
          </w:p>
        </w:tc>
        <w:tc>
          <w:tcPr>
            <w:tcW w:w="5703"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00" w:lineRule="atLeast"/>
              <w:jc w:val="center"/>
              <w:rPr>
                <w:rFonts w:ascii="宋体" w:hAnsi="宋体" w:cs="Tahoma"/>
                <w:sz w:val="24"/>
              </w:rPr>
            </w:pPr>
            <w:r>
              <w:rPr>
                <w:rFonts w:ascii="宋体" w:hAnsi="宋体" w:cs="Tahoma"/>
                <w:sz w:val="24"/>
              </w:rPr>
              <w:t>IRTK5</w:t>
            </w:r>
          </w:p>
        </w:tc>
        <w:tc>
          <w:tcPr>
            <w:tcW w:w="125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bCs/>
                <w:sz w:val="24"/>
                <w:lang w:bidi="ar"/>
              </w:rPr>
            </w:pPr>
            <w:r>
              <w:rPr>
                <w:rFonts w:hint="eastAsia" w:ascii="宋体" w:hAnsi="宋体" w:cs="宋体"/>
                <w:bCs/>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宋体" w:hAnsi="宋体" w:cs="Tahoma"/>
                <w:kern w:val="0"/>
                <w:sz w:val="24"/>
              </w:rPr>
            </w:pPr>
            <w:r>
              <w:rPr>
                <w:rFonts w:hint="eastAsia" w:ascii="宋体" w:hAnsi="宋体" w:cs="Tahoma"/>
                <w:kern w:val="0"/>
                <w:sz w:val="24"/>
              </w:rPr>
              <w:t>3</w:t>
            </w:r>
          </w:p>
        </w:tc>
        <w:tc>
          <w:tcPr>
            <w:tcW w:w="5348"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ascii="宋体" w:hAnsi="宋体" w:cs="Tahoma"/>
                <w:sz w:val="24"/>
              </w:rPr>
            </w:pPr>
            <w:r>
              <w:fldChar w:fldCharType="begin"/>
            </w:r>
            <w:r>
              <w:instrText xml:space="preserve"> HYPERLINK "javascript:__doPostBack('GvData$ctl02$Link_EquipmentName','')" </w:instrText>
            </w:r>
            <w:r>
              <w:fldChar w:fldCharType="separate"/>
            </w:r>
            <w:r>
              <w:rPr>
                <w:rStyle w:val="5"/>
                <w:rFonts w:ascii="宋体" w:hAnsi="宋体" w:cs="Tahoma"/>
                <w:color w:val="auto"/>
                <w:sz w:val="24"/>
                <w:u w:val="none"/>
              </w:rPr>
              <w:t>全站仪（不低于2秒级精度）</w:t>
            </w:r>
            <w:r>
              <w:rPr>
                <w:rStyle w:val="5"/>
                <w:rFonts w:ascii="宋体" w:hAnsi="宋体" w:cs="Tahoma"/>
                <w:color w:val="auto"/>
                <w:sz w:val="24"/>
                <w:u w:val="none"/>
              </w:rPr>
              <w:fldChar w:fldCharType="end"/>
            </w:r>
          </w:p>
        </w:tc>
        <w:tc>
          <w:tcPr>
            <w:tcW w:w="5703"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00" w:lineRule="atLeast"/>
              <w:jc w:val="center"/>
              <w:rPr>
                <w:rFonts w:ascii="宋体" w:hAnsi="宋体" w:cs="Tahoma"/>
                <w:sz w:val="24"/>
              </w:rPr>
            </w:pPr>
            <w:r>
              <w:rPr>
                <w:rFonts w:ascii="宋体" w:hAnsi="宋体" w:cs="Tahoma"/>
                <w:sz w:val="24"/>
              </w:rPr>
              <w:t>NTS-342R10A</w:t>
            </w:r>
          </w:p>
        </w:tc>
        <w:tc>
          <w:tcPr>
            <w:tcW w:w="125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bCs/>
                <w:sz w:val="24"/>
                <w:lang w:bidi="ar"/>
              </w:rPr>
            </w:pPr>
            <w:r>
              <w:rPr>
                <w:rFonts w:hint="eastAsia" w:ascii="宋体" w:hAnsi="宋体" w:cs="宋体"/>
                <w:bCs/>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宋体" w:hAnsi="宋体" w:cs="Tahoma"/>
                <w:kern w:val="0"/>
                <w:sz w:val="24"/>
              </w:rPr>
            </w:pPr>
            <w:r>
              <w:rPr>
                <w:rFonts w:hint="eastAsia" w:ascii="宋体" w:hAnsi="宋体" w:cs="Tahoma"/>
                <w:kern w:val="0"/>
                <w:sz w:val="24"/>
              </w:rPr>
              <w:t>4</w:t>
            </w:r>
          </w:p>
        </w:tc>
        <w:tc>
          <w:tcPr>
            <w:tcW w:w="5348"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ascii="宋体" w:hAnsi="宋体" w:cs="Tahoma"/>
                <w:sz w:val="24"/>
              </w:rPr>
            </w:pPr>
            <w:r>
              <w:fldChar w:fldCharType="begin"/>
            </w:r>
            <w:r>
              <w:instrText xml:space="preserve"> HYPERLINK "javascript:__doPostBack('GvData$ctl02$Link_EquipmentName','')" </w:instrText>
            </w:r>
            <w:r>
              <w:fldChar w:fldCharType="separate"/>
            </w:r>
            <w:r>
              <w:rPr>
                <w:rStyle w:val="5"/>
                <w:rFonts w:ascii="宋体" w:hAnsi="宋体" w:cs="Tahoma"/>
                <w:color w:val="auto"/>
                <w:sz w:val="24"/>
                <w:u w:val="none"/>
              </w:rPr>
              <w:t>水准仪（不低于S1级精度）</w:t>
            </w:r>
            <w:r>
              <w:rPr>
                <w:rStyle w:val="5"/>
                <w:rFonts w:ascii="宋体" w:hAnsi="宋体" w:cs="Tahoma"/>
                <w:color w:val="auto"/>
                <w:sz w:val="24"/>
                <w:u w:val="none"/>
              </w:rPr>
              <w:fldChar w:fldCharType="end"/>
            </w:r>
          </w:p>
        </w:tc>
        <w:tc>
          <w:tcPr>
            <w:tcW w:w="5703"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00" w:lineRule="atLeast"/>
              <w:jc w:val="center"/>
              <w:rPr>
                <w:rFonts w:ascii="宋体" w:hAnsi="宋体" w:cs="Tahoma"/>
                <w:sz w:val="24"/>
              </w:rPr>
            </w:pPr>
            <w:r>
              <w:rPr>
                <w:rFonts w:ascii="宋体" w:hAnsi="宋体" w:cs="Tahoma"/>
                <w:sz w:val="24"/>
              </w:rPr>
              <w:t>sprinter350M</w:t>
            </w:r>
          </w:p>
        </w:tc>
        <w:tc>
          <w:tcPr>
            <w:tcW w:w="125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bCs/>
                <w:sz w:val="24"/>
                <w:lang w:bidi="ar"/>
              </w:rPr>
            </w:pPr>
            <w:r>
              <w:rPr>
                <w:rFonts w:ascii="宋体" w:hAnsi="宋体" w:cs="宋体"/>
                <w:bCs/>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宋体" w:hAnsi="宋体" w:cs="Tahoma"/>
                <w:kern w:val="0"/>
                <w:sz w:val="24"/>
              </w:rPr>
            </w:pPr>
            <w:r>
              <w:rPr>
                <w:rFonts w:hint="eastAsia" w:ascii="宋体" w:hAnsi="宋体" w:cs="Tahoma"/>
                <w:kern w:val="0"/>
                <w:sz w:val="24"/>
              </w:rPr>
              <w:t>5</w:t>
            </w:r>
          </w:p>
        </w:tc>
        <w:tc>
          <w:tcPr>
            <w:tcW w:w="5348"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ascii="宋体" w:hAnsi="宋体" w:cs="Tahoma"/>
                <w:sz w:val="24"/>
              </w:rPr>
            </w:pPr>
            <w:r>
              <w:fldChar w:fldCharType="begin"/>
            </w:r>
            <w:r>
              <w:instrText xml:space="preserve"> HYPERLINK "javascript:__doPostBack('GvData$ctl02$Link_EquipmentName','')" </w:instrText>
            </w:r>
            <w:r>
              <w:fldChar w:fldCharType="separate"/>
            </w:r>
            <w:r>
              <w:rPr>
                <w:rStyle w:val="5"/>
                <w:rFonts w:ascii="宋体" w:hAnsi="宋体" w:cs="Tahoma"/>
                <w:color w:val="auto"/>
                <w:sz w:val="24"/>
                <w:u w:val="none"/>
              </w:rPr>
              <w:t>数据服务器</w:t>
            </w:r>
            <w:r>
              <w:rPr>
                <w:rStyle w:val="5"/>
                <w:rFonts w:ascii="宋体" w:hAnsi="宋体" w:cs="Tahoma"/>
                <w:color w:val="auto"/>
                <w:sz w:val="24"/>
                <w:u w:val="none"/>
              </w:rPr>
              <w:fldChar w:fldCharType="end"/>
            </w:r>
          </w:p>
        </w:tc>
        <w:tc>
          <w:tcPr>
            <w:tcW w:w="5703"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00" w:lineRule="atLeast"/>
              <w:jc w:val="center"/>
              <w:rPr>
                <w:rFonts w:ascii="宋体" w:hAnsi="宋体" w:cs="Tahoma"/>
                <w:sz w:val="24"/>
              </w:rPr>
            </w:pPr>
            <w:r>
              <w:rPr>
                <w:rFonts w:ascii="宋体" w:hAnsi="宋体" w:cs="Tahoma"/>
                <w:sz w:val="24"/>
              </w:rPr>
              <w:t>华为H22H-05</w:t>
            </w:r>
          </w:p>
        </w:tc>
        <w:tc>
          <w:tcPr>
            <w:tcW w:w="1256" w:type="dxa"/>
            <w:tcBorders>
              <w:top w:val="single" w:color="auto" w:sz="4" w:space="0"/>
              <w:left w:val="single" w:color="auto" w:sz="4" w:space="0"/>
              <w:bottom w:val="single" w:color="auto" w:sz="4" w:space="0"/>
              <w:right w:val="single" w:color="auto" w:sz="4" w:space="0"/>
            </w:tcBorders>
          </w:tcPr>
          <w:p>
            <w:pPr>
              <w:jc w:val="center"/>
              <w:rPr>
                <w:rFonts w:ascii="宋体" w:hAnsi="宋体" w:cs="宋体"/>
                <w:bCs/>
                <w:sz w:val="24"/>
                <w:lang w:bidi="ar"/>
              </w:rPr>
            </w:pPr>
            <w:r>
              <w:rPr>
                <w:rFonts w:hint="eastAsia" w:ascii="宋体" w:hAnsi="宋体" w:cs="宋体"/>
                <w:bCs/>
                <w:sz w:val="24"/>
                <w:lang w:bidi="ar"/>
              </w:rPr>
              <w:t>1</w:t>
            </w:r>
          </w:p>
        </w:tc>
      </w:tr>
    </w:tbl>
    <w:p>
      <w:pPr>
        <w:rPr>
          <w:rFonts w:hint="eastAsia"/>
          <w:b/>
          <w:sz w:val="44"/>
          <w:szCs w:val="44"/>
        </w:rPr>
      </w:pPr>
    </w:p>
    <w:p>
      <w:pPr>
        <w:jc w:val="center"/>
        <w:rPr>
          <w:b/>
          <w:sz w:val="44"/>
          <w:szCs w:val="44"/>
        </w:rPr>
      </w:pPr>
      <w:r>
        <w:rPr>
          <w:rFonts w:hint="eastAsia" w:ascii="Times New Roman" w:hAnsi="Times New Roman" w:cs="宋体"/>
          <w:b/>
          <w:sz w:val="44"/>
          <w:szCs w:val="44"/>
          <w:lang w:bidi="ar"/>
        </w:rPr>
        <w:t>四、测绘业绩</w:t>
      </w:r>
    </w:p>
    <w:p/>
    <w:tbl>
      <w:tblPr>
        <w:tblStyle w:val="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143"/>
        <w:gridCol w:w="2144"/>
        <w:gridCol w:w="2144"/>
        <w:gridCol w:w="2384"/>
        <w:gridCol w:w="2385"/>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8" w:hRule="exact"/>
        </w:trPr>
        <w:tc>
          <w:tcPr>
            <w:tcW w:w="82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序号</w:t>
            </w:r>
          </w:p>
        </w:tc>
        <w:tc>
          <w:tcPr>
            <w:tcW w:w="2143"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项目名称</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基本情况（项目地点、作业内容等）</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验收时间</w:t>
            </w:r>
          </w:p>
        </w:tc>
        <w:tc>
          <w:tcPr>
            <w:tcW w:w="238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所属专业类别</w:t>
            </w:r>
          </w:p>
        </w:tc>
        <w:tc>
          <w:tcPr>
            <w:tcW w:w="23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sz w:val="24"/>
                <w:lang w:val="en" w:bidi="ar"/>
              </w:rPr>
            </w:pPr>
            <w:r>
              <w:rPr>
                <w:rFonts w:hint="eastAsia" w:ascii="Times New Roman" w:hAnsi="Times New Roman" w:cs="宋体"/>
                <w:b/>
                <w:sz w:val="24"/>
                <w:lang w:val="en" w:bidi="ar"/>
              </w:rPr>
              <w:t>测绘金额</w:t>
            </w:r>
            <w:r>
              <w:rPr>
                <w:rFonts w:ascii="Times New Roman" w:hAnsi="Times New Roman" w:cs="宋体"/>
                <w:b/>
                <w:sz w:val="24"/>
                <w:lang w:val="en" w:bidi="ar"/>
              </w:rPr>
              <w:t>(</w:t>
            </w:r>
            <w:r>
              <w:rPr>
                <w:rFonts w:hint="eastAsia" w:ascii="Times New Roman" w:hAnsi="Times New Roman" w:cs="宋体"/>
                <w:b/>
                <w:sz w:val="24"/>
                <w:lang w:val="en" w:bidi="ar"/>
              </w:rPr>
              <w:t>万元）</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验收机构</w:t>
            </w:r>
          </w:p>
        </w:tc>
      </w:tr>
    </w:tbl>
    <w:p>
      <w:pPr>
        <w:rPr>
          <w:rFonts w:hint="eastAsia"/>
        </w:rPr>
      </w:pPr>
    </w:p>
    <w:p>
      <w:pPr>
        <w:rPr>
          <w:rFonts w:ascii="宋体" w:hAnsi="宋体" w:cs="宋体"/>
          <w:b/>
          <w:sz w:val="44"/>
          <w:szCs w:val="44"/>
          <w:lang w:bidi="ar"/>
        </w:rPr>
      </w:pPr>
    </w:p>
    <w:p>
      <w:pPr>
        <w:jc w:val="center"/>
        <w:rPr>
          <w:rFonts w:ascii="宋体" w:hAnsi="宋体" w:cs="宋体"/>
        </w:rPr>
      </w:pPr>
      <w:r>
        <w:rPr>
          <w:rFonts w:hint="eastAsia" w:ascii="宋体" w:hAnsi="宋体" w:cs="宋体"/>
          <w:b/>
          <w:sz w:val="44"/>
          <w:szCs w:val="44"/>
          <w:lang w:bidi="ar"/>
        </w:rPr>
        <w:t>五、体系制度要求</w:t>
      </w:r>
    </w:p>
    <w:p>
      <w:pPr>
        <w:rPr>
          <w:rFonts w:ascii="宋体" w:hAnsi="宋体" w:cs="宋体"/>
          <w:sz w:val="24"/>
        </w:rPr>
      </w:pPr>
    </w:p>
    <w:tbl>
      <w:tblPr>
        <w:tblStyle w:val="6"/>
        <w:tblW w:w="13988" w:type="dxa"/>
        <w:jc w:val="center"/>
        <w:tblInd w:w="0" w:type="dxa"/>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
      <w:tblGrid>
        <w:gridCol w:w="1619"/>
        <w:gridCol w:w="10483"/>
        <w:gridCol w:w="1886"/>
      </w:tblGrid>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704" w:hRule="atLeast"/>
          <w:jc w:val="center"/>
        </w:trPr>
        <w:tc>
          <w:tcPr>
            <w:tcW w:w="12102"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方正小标宋简体"/>
                <w:bCs/>
                <w:kern w:val="200"/>
                <w:sz w:val="44"/>
                <w:szCs w:val="44"/>
              </w:rPr>
            </w:pPr>
            <w:r>
              <w:rPr>
                <w:rFonts w:hint="eastAsia" w:ascii="宋体" w:hAnsi="宋体" w:cs="宋体-PUA"/>
                <w:b/>
                <w:kern w:val="200"/>
                <w:sz w:val="28"/>
                <w:szCs w:val="28"/>
                <w:lang w:bidi="ar"/>
              </w:rPr>
              <w:t>具体要求</w:t>
            </w:r>
          </w:p>
        </w:tc>
        <w:tc>
          <w:tcPr>
            <w:tcW w:w="1886"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宋体-PUA"/>
                <w:b/>
                <w:kern w:val="200"/>
                <w:sz w:val="24"/>
                <w:lang w:bidi="ar"/>
              </w:rPr>
            </w:pPr>
            <w:r>
              <w:rPr>
                <w:rFonts w:hint="eastAsia" w:ascii="宋体" w:hAnsi="宋体" w:cs="宋体-PUA"/>
                <w:b/>
                <w:kern w:val="200"/>
                <w:sz w:val="24"/>
                <w:lang w:bidi="ar"/>
              </w:rPr>
              <w:t>申请单位情况</w:t>
            </w:r>
          </w:p>
          <w:p>
            <w:pPr>
              <w:widowControl/>
              <w:adjustRightInd w:val="0"/>
              <w:snapToGrid w:val="0"/>
              <w:spacing w:line="420" w:lineRule="exact"/>
              <w:jc w:val="center"/>
              <w:textAlignment w:val="center"/>
              <w:rPr>
                <w:rFonts w:ascii="宋体" w:hAnsi="宋体" w:cs="方正小标宋简体"/>
                <w:bCs/>
                <w:kern w:val="200"/>
                <w:sz w:val="44"/>
                <w:szCs w:val="44"/>
              </w:rPr>
            </w:pPr>
            <w:r>
              <w:rPr>
                <w:rFonts w:hint="eastAsia" w:ascii="宋体" w:hAnsi="宋体" w:cs="宋体-PUA"/>
                <w:bCs/>
                <w:kern w:val="200"/>
                <w:szCs w:val="21"/>
                <w:lang w:bidi="ar"/>
              </w:rPr>
              <w:t>（填符合或不符合）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704" w:hRule="atLeast"/>
          <w:jc w:val="center"/>
        </w:trPr>
        <w:tc>
          <w:tcPr>
            <w:tcW w:w="13988" w:type="dxa"/>
            <w:gridSpan w:val="3"/>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20" w:lineRule="exact"/>
              <w:textAlignment w:val="center"/>
              <w:rPr>
                <w:rFonts w:ascii="宋体" w:hAnsi="宋体" w:cs="仿宋_GB2312"/>
                <w:b/>
                <w:kern w:val="0"/>
                <w:sz w:val="28"/>
                <w:szCs w:val="28"/>
              </w:rPr>
            </w:pPr>
            <w:r>
              <w:rPr>
                <w:rFonts w:hint="eastAsia" w:ascii="宋体" w:hAnsi="宋体" w:cs="方正小标宋简体"/>
                <w:bCs/>
                <w:kern w:val="200"/>
                <w:sz w:val="44"/>
                <w:szCs w:val="44"/>
                <w:lang w:bidi="ar"/>
              </w:rPr>
              <w:t xml:space="preserve">  </w:t>
            </w:r>
            <w:r>
              <w:rPr>
                <w:rFonts w:hint="eastAsia" w:ascii="宋体" w:hAnsi="宋体" w:cs="宋体-PUA"/>
                <w:b/>
                <w:kern w:val="200"/>
                <w:sz w:val="28"/>
                <w:szCs w:val="28"/>
                <w:lang w:bidi="ar"/>
              </w:rPr>
              <w:t>一、测绘地理信息安全保障措施和管理制度要求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630" w:hRule="atLeast"/>
          <w:jc w:val="center"/>
        </w:trPr>
        <w:tc>
          <w:tcPr>
            <w:tcW w:w="1619"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b/>
                <w:kern w:val="0"/>
                <w:sz w:val="24"/>
              </w:rPr>
            </w:pPr>
            <w:r>
              <w:rPr>
                <w:rFonts w:hint="eastAsia" w:ascii="宋体" w:hAnsi="宋体" w:cs="仿宋_GB2312"/>
                <w:b/>
                <w:kern w:val="0"/>
                <w:sz w:val="24"/>
                <w:lang w:bidi="ar"/>
              </w:rPr>
              <w:t>基本要求</w:t>
            </w: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sz w:val="24"/>
              </w:rPr>
            </w:pPr>
            <w:r>
              <w:rPr>
                <w:rFonts w:hint="eastAsia" w:ascii="宋体" w:hAnsi="宋体" w:cs="仿宋_GB2312"/>
                <w:kern w:val="0"/>
                <w:sz w:val="24"/>
                <w:lang w:bidi="ar"/>
              </w:rPr>
              <w:t>1.</w:t>
            </w:r>
            <w:r>
              <w:rPr>
                <w:rFonts w:hint="eastAsia" w:ascii="宋体" w:hAnsi="宋体" w:cs="仿宋_GB2312"/>
                <w:sz w:val="24"/>
                <w:lang w:bidi="ar"/>
              </w:rPr>
              <w:t>设立测绘地理信息安全保密工作机构。</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492"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2.从事涉密测绘业务的人员应当具有中华人民共和国国籍，签订保密责任书，接受保密教育。</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3.建立健全测绘地理信息安全保密管理制度。明确涉密人员管理、保密要害部门部位管理、涉密设备与存储介质管理、涉密测绘成果全流程保密、保密自查等要求。</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4.明确涉密测绘成果使用审批流程和责任人，未经批准，涉密测绘成果不得带离保密要害部门部位。</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 xml:space="preserve">5.涉密存储介质专人管理，建立台账；涉密设备与存储介质应粘贴密级标识；涉密计算机、涉密存储介质不得接入互联网或其他公共信息网络；涉密网络与互联网或其他公共信息网络之间实行物理隔离；涉密计算机外接端口封闭管理。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710"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6.建立健全涉密测绘外业安全保密管理制度，落实监管人员和保密责任，外业所用涉密计算机纳入涉密单机进行管理。</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392"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7.对属于国家秘密的地理信息的获取、持有、提供、利用情况进行登记并长期保存，实行可追溯管理。</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470"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8.从事测绘活动，应当遵守保密法律法规规章等有关规定。</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567" w:hRule="atLeast"/>
          <w:jc w:val="center"/>
        </w:trPr>
        <w:tc>
          <w:tcPr>
            <w:tcW w:w="1619"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b/>
                <w:kern w:val="0"/>
                <w:sz w:val="24"/>
              </w:rPr>
            </w:pPr>
            <w:r>
              <w:rPr>
                <w:rFonts w:hint="eastAsia" w:ascii="宋体" w:hAnsi="宋体" w:cs="仿宋_GB2312"/>
                <w:b/>
                <w:kern w:val="0"/>
                <w:sz w:val="24"/>
                <w:lang w:bidi="ar"/>
              </w:rPr>
              <w:t>导航电子地图制作补充要求</w:t>
            </w: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1.涉密网络应配备系统管理员、安全保密管理员和安全审计员。</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kern w:val="0"/>
                <w:sz w:val="24"/>
              </w:rPr>
              <w:t>无</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43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2.保密要害部门部位应当确定安全控制区域，采取电子监控、防盗报警等必要的安全防范措施。</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jc w:val="center"/>
            </w:pPr>
            <w:r>
              <w:rPr>
                <w:rFonts w:hint="eastAsia" w:ascii="宋体" w:hAnsi="宋体" w:cs="仿宋_GB2312"/>
                <w:kern w:val="0"/>
                <w:sz w:val="24"/>
              </w:rPr>
              <w:t>无</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1"/>
              </w:numPr>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配置符合要求的安全保密专用产品，包括身份鉴别、访问控制、安全审计、保密技术防护（三合一）、漏洞扫描、计算机病毒查杀、边界安全防护和数据库安全等产品。</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jc w:val="center"/>
            </w:pPr>
            <w:r>
              <w:rPr>
                <w:rFonts w:hint="eastAsia" w:ascii="宋体" w:hAnsi="宋体" w:cs="仿宋_GB2312"/>
                <w:kern w:val="0"/>
                <w:sz w:val="24"/>
              </w:rPr>
              <w:t>无</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4.软件开发不得在保密要害部门部位内进行。</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jc w:val="center"/>
            </w:pPr>
            <w:r>
              <w:rPr>
                <w:rFonts w:hint="eastAsia" w:ascii="宋体" w:hAnsi="宋体" w:cs="仿宋_GB2312"/>
                <w:kern w:val="0"/>
                <w:sz w:val="24"/>
              </w:rPr>
              <w:t>无</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sz w:val="24"/>
                <w:lang w:bidi="ar"/>
              </w:rPr>
              <w:t>5.未经单位安全保密工作机构批准，单位内部</w:t>
            </w:r>
            <w:r>
              <w:rPr>
                <w:rFonts w:hint="eastAsia" w:ascii="宋体" w:hAnsi="宋体" w:cs="仿宋_GB2312"/>
                <w:kern w:val="0"/>
                <w:sz w:val="24"/>
                <w:lang w:bidi="ar"/>
              </w:rPr>
              <w:t>涉密测绘成果</w:t>
            </w:r>
            <w:r>
              <w:rPr>
                <w:rFonts w:hint="eastAsia" w:ascii="宋体" w:hAnsi="宋体" w:cs="仿宋_GB2312"/>
                <w:sz w:val="24"/>
                <w:lang w:bidi="ar"/>
              </w:rPr>
              <w:t>不得采用移动存储介质进行交换，应基于涉密网络操作，并进行审计。</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jc w:val="center"/>
            </w:pPr>
            <w:r>
              <w:rPr>
                <w:rFonts w:hint="eastAsia" w:ascii="宋体" w:hAnsi="宋体" w:cs="仿宋_GB2312"/>
                <w:kern w:val="0"/>
                <w:sz w:val="24"/>
              </w:rPr>
              <w:t>无</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4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sz w:val="24"/>
              </w:rPr>
            </w:pPr>
            <w:r>
              <w:rPr>
                <w:rFonts w:hint="eastAsia" w:ascii="宋体" w:hAnsi="宋体" w:cs="仿宋_GB2312"/>
                <w:kern w:val="0"/>
                <w:sz w:val="24"/>
                <w:lang w:bidi="ar"/>
              </w:rPr>
              <w:t>6.涉密测绘成果对外提供应配置专人专机。专机需安装安全审计软件，进行实时审计。</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jc w:val="center"/>
            </w:pPr>
            <w:r>
              <w:rPr>
                <w:rFonts w:hint="eastAsia" w:ascii="宋体" w:hAnsi="宋体" w:cs="仿宋_GB2312"/>
                <w:kern w:val="0"/>
                <w:sz w:val="24"/>
              </w:rPr>
              <w:t>无</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90"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7.配置红黑电源。</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jc w:val="center"/>
            </w:pPr>
            <w:r>
              <w:rPr>
                <w:rFonts w:hint="eastAsia" w:ascii="宋体" w:hAnsi="宋体" w:cs="仿宋_GB2312"/>
                <w:kern w:val="0"/>
                <w:sz w:val="24"/>
              </w:rPr>
              <w:t>无</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626" w:hRule="atLeast"/>
          <w:jc w:val="center"/>
        </w:trPr>
        <w:tc>
          <w:tcPr>
            <w:tcW w:w="16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widowControl/>
              <w:adjustRightInd w:val="0"/>
              <w:snapToGrid w:val="0"/>
              <w:spacing w:line="420" w:lineRule="exact"/>
              <w:jc w:val="center"/>
              <w:textAlignment w:val="center"/>
              <w:rPr>
                <w:rFonts w:ascii="宋体" w:hAnsi="宋体" w:cs="仿宋_GB2312"/>
                <w:b/>
                <w:kern w:val="0"/>
                <w:sz w:val="24"/>
              </w:rPr>
            </w:pPr>
            <w:r>
              <w:rPr>
                <w:rFonts w:hint="eastAsia" w:ascii="宋体" w:hAnsi="宋体" w:cs="仿宋_GB2312"/>
                <w:b/>
                <w:kern w:val="0"/>
                <w:sz w:val="24"/>
                <w:lang w:bidi="ar"/>
              </w:rPr>
              <w:t>互联网地图服务补充要求</w:t>
            </w: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存放地图数据的服务器设在中华人民共和国境内。</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kern w:val="0"/>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507" w:hRule="atLeast"/>
          <w:jc w:val="center"/>
        </w:trPr>
        <w:tc>
          <w:tcPr>
            <w:tcW w:w="13988"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60" w:lineRule="exact"/>
              <w:rPr>
                <w:rFonts w:ascii="宋体" w:hAnsi="宋体" w:cs="仿宋_GB2312"/>
                <w:b/>
                <w:kern w:val="0"/>
                <w:sz w:val="28"/>
                <w:szCs w:val="28"/>
              </w:rPr>
            </w:pPr>
            <w:r>
              <w:rPr>
                <w:rFonts w:hint="eastAsia" w:ascii="宋体" w:hAnsi="宋体" w:cs="宋体-PUA"/>
                <w:b/>
                <w:kern w:val="200"/>
                <w:sz w:val="28"/>
                <w:szCs w:val="28"/>
                <w:lang w:bidi="ar"/>
              </w:rPr>
              <w:t>二、技术和质量保证体系要求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cantSplit/>
          <w:trHeight w:val="90"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b/>
                <w:sz w:val="24"/>
              </w:rPr>
            </w:pPr>
            <w:r>
              <w:rPr>
                <w:rFonts w:hint="eastAsia" w:ascii="宋体" w:hAnsi="宋体" w:cs="仿宋_GB2312"/>
                <w:b/>
                <w:kern w:val="0"/>
                <w:sz w:val="24"/>
                <w:lang w:bidi="ar"/>
              </w:rPr>
              <w:t>机构人员</w:t>
            </w:r>
          </w:p>
        </w:tc>
        <w:tc>
          <w:tcPr>
            <w:tcW w:w="10483"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lang w:bidi="ar"/>
              </w:rPr>
              <w:t>1.设立技术和质量管理机构。</w:t>
            </w:r>
          </w:p>
        </w:tc>
        <w:tc>
          <w:tcPr>
            <w:tcW w:w="1886"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cantSplit/>
          <w:trHeight w:val="56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lang w:bidi="ar"/>
              </w:rPr>
              <w:t xml:space="preserve"> 2.明确技术和质量管理工作的主管领导、技术和质量管理机构的负责人。技术和质量管理机构负责人应当具备中级及以上测绘专业技术职称。</w:t>
            </w:r>
          </w:p>
        </w:tc>
        <w:tc>
          <w:tcPr>
            <w:tcW w:w="188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lang w:bidi="ar"/>
              </w:rPr>
              <w:t>3.配备与业务相适应的质检人员。质检人员应当是测绘专业技术人员。</w:t>
            </w:r>
          </w:p>
        </w:tc>
        <w:tc>
          <w:tcPr>
            <w:tcW w:w="1886"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cantSplit/>
          <w:trHeight w:val="655"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b/>
                <w:sz w:val="24"/>
              </w:rPr>
            </w:pPr>
            <w:r>
              <w:rPr>
                <w:rFonts w:hint="eastAsia" w:ascii="宋体" w:hAnsi="宋体" w:cs="仿宋_GB2312"/>
                <w:b/>
                <w:kern w:val="0"/>
                <w:sz w:val="24"/>
                <w:lang w:bidi="ar"/>
              </w:rPr>
              <w:t>管理制度</w:t>
            </w:r>
          </w:p>
        </w:tc>
        <w:tc>
          <w:tcPr>
            <w:tcW w:w="10483" w:type="dxa"/>
            <w:tcBorders>
              <w:top w:val="single" w:color="000000" w:sz="4" w:space="0"/>
              <w:left w:val="single" w:color="000000" w:sz="4" w:space="0"/>
              <w:bottom w:val="single" w:color="000000" w:sz="4" w:space="0"/>
              <w:right w:val="single" w:color="auto" w:sz="4" w:space="0"/>
            </w:tcBorders>
          </w:tcPr>
          <w:p>
            <w:pPr>
              <w:widowControl/>
              <w:adjustRightInd w:val="0"/>
              <w:snapToGrid w:val="0"/>
              <w:spacing w:line="460" w:lineRule="exact"/>
              <w:jc w:val="left"/>
              <w:rPr>
                <w:rFonts w:ascii="宋体" w:hAnsi="宋体" w:cs="仿宋_GB2312"/>
                <w:kern w:val="0"/>
                <w:sz w:val="24"/>
              </w:rPr>
            </w:pPr>
            <w:r>
              <w:rPr>
                <w:rFonts w:hint="eastAsia" w:ascii="宋体" w:hAnsi="宋体" w:cs="仿宋_GB2312"/>
                <w:kern w:val="0"/>
                <w:sz w:val="24"/>
                <w:lang w:bidi="ar"/>
              </w:rPr>
              <w:t>4.建立健全技术管理制度，明确技术设计、技术处理和技术总结等要求。其中简单、日常性的测绘项目可以制定《作业指导书》。</w:t>
            </w:r>
          </w:p>
        </w:tc>
        <w:tc>
          <w:tcPr>
            <w:tcW w:w="1886" w:type="dxa"/>
            <w:tcBorders>
              <w:top w:val="single" w:color="000000" w:sz="4" w:space="0"/>
              <w:left w:val="single" w:color="auto" w:sz="4" w:space="0"/>
              <w:bottom w:val="single" w:color="000000" w:sz="4" w:space="0"/>
              <w:right w:val="single" w:color="000000" w:sz="4" w:space="0"/>
            </w:tcBorders>
          </w:tcPr>
          <w:p>
            <w:pPr>
              <w:widowControl/>
              <w:adjustRightInd w:val="0"/>
              <w:snapToGrid w:val="0"/>
              <w:spacing w:line="460" w:lineRule="exact"/>
              <w:jc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tcPr>
          <w:p>
            <w:pPr>
              <w:widowControl/>
              <w:adjustRightInd w:val="0"/>
              <w:snapToGrid w:val="0"/>
              <w:spacing w:line="460" w:lineRule="exact"/>
              <w:jc w:val="left"/>
              <w:rPr>
                <w:rFonts w:ascii="宋体" w:hAnsi="宋体" w:cs="仿宋_GB2312"/>
                <w:kern w:val="0"/>
                <w:sz w:val="24"/>
              </w:rPr>
            </w:pPr>
            <w:r>
              <w:rPr>
                <w:rFonts w:hint="eastAsia" w:ascii="宋体" w:hAnsi="宋体" w:cs="仿宋_GB2312"/>
                <w:kern w:val="0"/>
                <w:sz w:val="24"/>
                <w:lang w:bidi="ar"/>
              </w:rPr>
              <w:t>5.建立健全质量检查管理制度，明确过程检查、最终检查、质量评定、检查记录和检查报告等要求。</w:t>
            </w:r>
          </w:p>
        </w:tc>
        <w:tc>
          <w:tcPr>
            <w:tcW w:w="1886" w:type="dxa"/>
            <w:tcBorders>
              <w:top w:val="single" w:color="000000" w:sz="4" w:space="0"/>
              <w:left w:val="single" w:color="auto" w:sz="4" w:space="0"/>
              <w:bottom w:val="single" w:color="000000" w:sz="4" w:space="0"/>
              <w:right w:val="single" w:color="000000" w:sz="4" w:space="0"/>
            </w:tcBorders>
          </w:tcPr>
          <w:p>
            <w:pPr>
              <w:widowControl/>
              <w:adjustRightInd w:val="0"/>
              <w:snapToGrid w:val="0"/>
              <w:spacing w:line="460" w:lineRule="exact"/>
              <w:jc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cantSplit/>
          <w:trHeight w:val="37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lang w:bidi="ar"/>
              </w:rPr>
              <w:t>6.建立健全人员培训与岗位管理制度，明确岗位职责、岗前培训考核、继续教育等要求。</w:t>
            </w:r>
          </w:p>
        </w:tc>
        <w:tc>
          <w:tcPr>
            <w:tcW w:w="1886"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cantSplit/>
          <w:trHeight w:val="41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lang w:bidi="ar"/>
              </w:rPr>
              <w:t>7.建立健全测绘仪器设备检定、校准管理制度，明确测绘仪器设备的检定、校准、日常管理等要求。</w:t>
            </w:r>
          </w:p>
        </w:tc>
        <w:tc>
          <w:tcPr>
            <w:tcW w:w="188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cantSplit/>
          <w:trHeight w:val="422" w:hRule="atLeast"/>
          <w:jc w:val="center"/>
        </w:trPr>
        <w:tc>
          <w:tcPr>
            <w:tcW w:w="16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spacing w:line="460" w:lineRule="exact"/>
              <w:jc w:val="center"/>
              <w:textAlignment w:val="center"/>
              <w:rPr>
                <w:rFonts w:ascii="宋体" w:hAnsi="宋体" w:cs="仿宋_GB2312"/>
                <w:bCs/>
                <w:kern w:val="0"/>
                <w:sz w:val="24"/>
              </w:rPr>
            </w:pPr>
            <w:r>
              <w:rPr>
                <w:rFonts w:hint="eastAsia" w:ascii="宋体" w:hAnsi="宋体" w:cs="仿宋_GB2312"/>
                <w:b/>
                <w:kern w:val="0"/>
                <w:sz w:val="24"/>
                <w:lang w:bidi="ar"/>
              </w:rPr>
              <w:t>其他</w:t>
            </w:r>
          </w:p>
        </w:tc>
        <w:tc>
          <w:tcPr>
            <w:tcW w:w="10483"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adjustRightInd w:val="0"/>
              <w:snapToGrid w:val="0"/>
              <w:spacing w:line="460" w:lineRule="exact"/>
              <w:textAlignment w:val="center"/>
              <w:rPr>
                <w:rFonts w:ascii="宋体" w:hAnsi="宋体" w:cs="仿宋_GB2312"/>
                <w:bCs/>
                <w:kern w:val="0"/>
                <w:sz w:val="24"/>
              </w:rPr>
            </w:pPr>
            <w:r>
              <w:rPr>
                <w:rFonts w:hint="eastAsia" w:ascii="宋体" w:hAnsi="宋体" w:cs="仿宋_GB2312"/>
                <w:bCs/>
                <w:kern w:val="0"/>
                <w:sz w:val="24"/>
                <w:lang w:bidi="ar"/>
              </w:rPr>
              <w:t>测绘技术和质量保证体系应当遵守法律法规规章等有关规定。</w:t>
            </w:r>
          </w:p>
        </w:tc>
        <w:tc>
          <w:tcPr>
            <w:tcW w:w="188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spacing w:line="460" w:lineRule="exact"/>
              <w:jc w:val="center"/>
              <w:textAlignment w:val="center"/>
              <w:rPr>
                <w:rFonts w:ascii="宋体" w:hAnsi="宋体" w:cs="仿宋_GB2312"/>
                <w:bCs/>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310" w:hRule="atLeast"/>
          <w:jc w:val="center"/>
        </w:trPr>
        <w:tc>
          <w:tcPr>
            <w:tcW w:w="13988" w:type="dxa"/>
            <w:gridSpan w:val="3"/>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500" w:lineRule="exact"/>
              <w:textAlignment w:val="center"/>
              <w:rPr>
                <w:rFonts w:ascii="宋体" w:hAnsi="宋体" w:cs="仿宋_GB2312"/>
                <w:b/>
                <w:kern w:val="0"/>
                <w:sz w:val="28"/>
                <w:szCs w:val="28"/>
              </w:rPr>
            </w:pPr>
            <w:r>
              <w:rPr>
                <w:rFonts w:hint="eastAsia" w:ascii="宋体" w:hAnsi="宋体" w:cs="宋体-PUA"/>
                <w:b/>
                <w:kern w:val="200"/>
                <w:sz w:val="28"/>
                <w:szCs w:val="28"/>
                <w:lang w:bidi="ar"/>
              </w:rPr>
              <w:t>三、测绘成果和资料档案管理制度要求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400" w:hRule="atLeast"/>
          <w:jc w:val="center"/>
        </w:trPr>
        <w:tc>
          <w:tcPr>
            <w:tcW w:w="161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center"/>
              <w:textAlignment w:val="center"/>
              <w:rPr>
                <w:rFonts w:ascii="宋体" w:hAnsi="宋体" w:cs="仿宋_GB2312"/>
                <w:b/>
                <w:kern w:val="0"/>
                <w:sz w:val="24"/>
              </w:rPr>
            </w:pPr>
            <w:r>
              <w:rPr>
                <w:rFonts w:hint="eastAsia" w:ascii="宋体" w:hAnsi="宋体" w:cs="仿宋_GB2312"/>
                <w:b/>
                <w:kern w:val="0"/>
                <w:sz w:val="24"/>
                <w:lang w:bidi="ar"/>
              </w:rPr>
              <w:t>机构人员</w:t>
            </w:r>
          </w:p>
        </w:tc>
        <w:tc>
          <w:tcPr>
            <w:tcW w:w="10483"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left"/>
              <w:textAlignment w:val="center"/>
              <w:rPr>
                <w:rFonts w:ascii="宋体" w:hAnsi="宋体" w:cs="仿宋_GB2312"/>
                <w:kern w:val="0"/>
                <w:sz w:val="24"/>
              </w:rPr>
            </w:pPr>
            <w:r>
              <w:rPr>
                <w:rFonts w:hint="eastAsia" w:ascii="宋体" w:hAnsi="宋体" w:cs="仿宋_GB2312"/>
                <w:kern w:val="0"/>
                <w:sz w:val="24"/>
                <w:lang w:bidi="ar"/>
              </w:rPr>
              <w:t>1.设立测绘成果和资料档案管理机构。</w:t>
            </w:r>
          </w:p>
        </w:tc>
        <w:tc>
          <w:tcPr>
            <w:tcW w:w="188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left"/>
              <w:textAlignment w:val="center"/>
              <w:rPr>
                <w:rFonts w:ascii="宋体" w:hAnsi="宋体" w:cs="仿宋_GB2312"/>
                <w:sz w:val="24"/>
              </w:rPr>
            </w:pPr>
            <w:r>
              <w:rPr>
                <w:rFonts w:hint="eastAsia" w:ascii="宋体" w:hAnsi="宋体" w:cs="仿宋_GB2312"/>
                <w:kern w:val="0"/>
                <w:sz w:val="24"/>
                <w:lang w:bidi="ar"/>
              </w:rPr>
              <w:t>2.明确测绘成果和资料档案管理工作的主管领导、工作人员及岗位职责。</w:t>
            </w:r>
          </w:p>
        </w:tc>
        <w:tc>
          <w:tcPr>
            <w:tcW w:w="188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center"/>
              <w:textAlignment w:val="center"/>
              <w:rPr>
                <w:rFonts w:ascii="宋体" w:hAnsi="宋体" w:cs="仿宋_GB2312"/>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690" w:hRule="atLeast"/>
          <w:jc w:val="center"/>
        </w:trPr>
        <w:tc>
          <w:tcPr>
            <w:tcW w:w="161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center"/>
              <w:textAlignment w:val="center"/>
              <w:rPr>
                <w:rFonts w:ascii="宋体" w:hAnsi="宋体" w:cs="仿宋_GB2312"/>
                <w:b/>
                <w:sz w:val="24"/>
              </w:rPr>
            </w:pPr>
            <w:r>
              <w:rPr>
                <w:rFonts w:hint="eastAsia" w:ascii="宋体" w:hAnsi="宋体" w:cs="仿宋_GB2312"/>
                <w:b/>
                <w:kern w:val="0"/>
                <w:sz w:val="24"/>
                <w:lang w:bidi="ar"/>
              </w:rPr>
              <w:t>管理制度</w:t>
            </w:r>
          </w:p>
        </w:tc>
        <w:tc>
          <w:tcPr>
            <w:tcW w:w="10483"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textAlignment w:val="center"/>
              <w:rPr>
                <w:rFonts w:ascii="宋体" w:hAnsi="宋体" w:cs="仿宋_GB2312"/>
                <w:sz w:val="24"/>
              </w:rPr>
            </w:pPr>
            <w:r>
              <w:rPr>
                <w:rFonts w:hint="eastAsia" w:ascii="宋体" w:hAnsi="宋体" w:cs="仿宋_GB2312"/>
                <w:kern w:val="0"/>
                <w:sz w:val="24"/>
                <w:lang w:bidi="ar"/>
              </w:rPr>
              <w:t>3.建立健全测绘成果和资料档案管理制度，明确测绘成果接收、整理、保管、使用、销毁以及建立台账等管理要求。</w:t>
            </w:r>
          </w:p>
        </w:tc>
        <w:tc>
          <w:tcPr>
            <w:tcW w:w="188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center"/>
              <w:textAlignment w:val="center"/>
              <w:rPr>
                <w:rFonts w:ascii="宋体" w:hAnsi="宋体" w:cs="仿宋_GB2312"/>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line="500" w:lineRule="exact"/>
              <w:jc w:val="left"/>
              <w:textAlignment w:val="center"/>
              <w:rPr>
                <w:rFonts w:ascii="宋体" w:hAnsi="宋体" w:cs="仿宋_GB2312"/>
                <w:sz w:val="24"/>
              </w:rPr>
            </w:pPr>
            <w:r>
              <w:rPr>
                <w:rFonts w:hint="eastAsia" w:ascii="宋体" w:hAnsi="宋体" w:cs="仿宋_GB2312"/>
                <w:kern w:val="0"/>
                <w:sz w:val="24"/>
                <w:lang w:bidi="ar"/>
              </w:rPr>
              <w:t>4.建立健全测绘成果和资料档案信息化管理的安全保护制度。</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line="500" w:lineRule="exact"/>
              <w:jc w:val="center"/>
              <w:textAlignment w:val="center"/>
              <w:rPr>
                <w:rFonts w:ascii="宋体" w:hAnsi="宋体" w:cs="仿宋_GB2312"/>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675" w:hRule="atLeast"/>
          <w:jc w:val="center"/>
        </w:trPr>
        <w:tc>
          <w:tcPr>
            <w:tcW w:w="1619"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center"/>
              <w:textAlignment w:val="center"/>
              <w:rPr>
                <w:rFonts w:ascii="宋体" w:hAnsi="宋体" w:cs="仿宋_GB2312"/>
                <w:b/>
                <w:sz w:val="24"/>
              </w:rPr>
            </w:pPr>
            <w:r>
              <w:rPr>
                <w:rFonts w:hint="eastAsia" w:ascii="宋体" w:hAnsi="宋体" w:cs="仿宋_GB2312"/>
                <w:b/>
                <w:kern w:val="0"/>
                <w:sz w:val="24"/>
                <w:lang w:bidi="ar"/>
              </w:rPr>
              <w:t>设施设备</w:t>
            </w: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left"/>
              <w:textAlignment w:val="center"/>
              <w:rPr>
                <w:rFonts w:ascii="宋体" w:hAnsi="宋体" w:cs="仿宋_GB2312"/>
                <w:sz w:val="24"/>
              </w:rPr>
            </w:pPr>
            <w:r>
              <w:rPr>
                <w:rFonts w:hint="eastAsia" w:ascii="宋体" w:hAnsi="宋体" w:cs="仿宋_GB2312"/>
                <w:kern w:val="0"/>
                <w:sz w:val="24"/>
                <w:lang w:bidi="ar"/>
              </w:rPr>
              <w:t>5.有专门的测绘成果和资料档案库房，具备防盗、防火、防潮、防光、防尘、防磁、防有害生物和污染等安全措施。</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center"/>
              <w:textAlignment w:val="center"/>
              <w:rPr>
                <w:rFonts w:ascii="宋体" w:hAnsi="宋体" w:cs="仿宋_GB2312"/>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190"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left"/>
              <w:textAlignment w:val="center"/>
              <w:rPr>
                <w:rFonts w:ascii="宋体" w:hAnsi="宋体" w:cs="仿宋_GB2312"/>
                <w:sz w:val="24"/>
              </w:rPr>
            </w:pPr>
            <w:r>
              <w:rPr>
                <w:rFonts w:hint="eastAsia" w:ascii="宋体" w:hAnsi="宋体" w:cs="仿宋_GB2312"/>
                <w:kern w:val="0"/>
                <w:sz w:val="24"/>
                <w:lang w:bidi="ar"/>
              </w:rPr>
              <w:t>6.配有与业务相适应的测绘成果和资料档案专用柜架、专用数据存储设备。</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center"/>
              <w:textAlignment w:val="center"/>
              <w:rPr>
                <w:rFonts w:ascii="宋体" w:hAnsi="宋体" w:cs="仿宋_GB2312"/>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仿宋_GB2312"/>
                <w:kern w:val="0"/>
                <w:sz w:val="24"/>
              </w:rPr>
            </w:pPr>
            <w:r>
              <w:rPr>
                <w:rFonts w:hint="eastAsia" w:ascii="宋体" w:hAnsi="宋体" w:cs="仿宋_GB2312"/>
                <w:b/>
                <w:kern w:val="0"/>
                <w:sz w:val="24"/>
                <w:lang w:bidi="ar"/>
              </w:rPr>
              <w:t>其他</w:t>
            </w:r>
          </w:p>
        </w:tc>
        <w:tc>
          <w:tcPr>
            <w:tcW w:w="1048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cs="仿宋_GB2312"/>
                <w:kern w:val="0"/>
                <w:sz w:val="24"/>
              </w:rPr>
            </w:pPr>
            <w:r>
              <w:rPr>
                <w:rFonts w:hint="eastAsia" w:ascii="宋体" w:hAnsi="宋体" w:cs="仿宋_GB2312"/>
                <w:kern w:val="0"/>
                <w:sz w:val="24"/>
                <w:lang w:bidi="ar"/>
              </w:rPr>
              <w:t>测绘成果和资料档案管理应当</w:t>
            </w:r>
            <w:r>
              <w:rPr>
                <w:rFonts w:hint="eastAsia" w:ascii="宋体" w:hAnsi="宋体" w:cs="仿宋_GB2312"/>
                <w:bCs/>
                <w:kern w:val="0"/>
                <w:sz w:val="24"/>
                <w:lang w:bidi="ar"/>
              </w:rPr>
              <w:t>遵守法律法规规章等</w:t>
            </w:r>
            <w:r>
              <w:rPr>
                <w:rFonts w:hint="eastAsia" w:ascii="宋体" w:hAnsi="宋体" w:cs="仿宋_GB2312"/>
                <w:kern w:val="0"/>
                <w:sz w:val="24"/>
                <w:lang w:bidi="ar"/>
              </w:rPr>
              <w:t>有关</w:t>
            </w:r>
            <w:r>
              <w:rPr>
                <w:rFonts w:hint="eastAsia" w:ascii="宋体" w:hAnsi="宋体" w:cs="仿宋_GB2312"/>
                <w:bCs/>
                <w:kern w:val="0"/>
                <w:sz w:val="24"/>
                <w:lang w:bidi="ar"/>
              </w:rPr>
              <w:t>规定。</w:t>
            </w:r>
          </w:p>
        </w:tc>
        <w:tc>
          <w:tcPr>
            <w:tcW w:w="188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仿宋_GB2312"/>
                <w:kern w:val="0"/>
                <w:sz w:val="24"/>
              </w:rPr>
            </w:pPr>
            <w:r>
              <w:rPr>
                <w:rFonts w:hint="eastAsia" w:ascii="宋体" w:hAnsi="宋体" w:cs="仿宋_GB2312"/>
                <w:kern w:val="0"/>
                <w:sz w:val="24"/>
              </w:rPr>
              <w:t>有</w:t>
            </w:r>
          </w:p>
        </w:tc>
      </w:tr>
    </w:tbl>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宋体-PUA">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43D283"/>
    <w:multiLevelType w:val="multilevel"/>
    <w:tmpl w:val="8A43D283"/>
    <w:lvl w:ilvl="0" w:tentative="0">
      <w:start w:val="3"/>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EF"/>
    <w:rsid w:val="00023FA6"/>
    <w:rsid w:val="00072E7B"/>
    <w:rsid w:val="000C58FB"/>
    <w:rsid w:val="00110DC4"/>
    <w:rsid w:val="001D0BEC"/>
    <w:rsid w:val="002011A1"/>
    <w:rsid w:val="00217F86"/>
    <w:rsid w:val="00254FEC"/>
    <w:rsid w:val="002C7E6A"/>
    <w:rsid w:val="003161CE"/>
    <w:rsid w:val="00342418"/>
    <w:rsid w:val="00376001"/>
    <w:rsid w:val="00405B7E"/>
    <w:rsid w:val="00462225"/>
    <w:rsid w:val="00571C4F"/>
    <w:rsid w:val="005C0356"/>
    <w:rsid w:val="00684DEF"/>
    <w:rsid w:val="006B1D8C"/>
    <w:rsid w:val="006D5EDE"/>
    <w:rsid w:val="00760974"/>
    <w:rsid w:val="007C28D3"/>
    <w:rsid w:val="00807770"/>
    <w:rsid w:val="008645D4"/>
    <w:rsid w:val="00875E80"/>
    <w:rsid w:val="008B5F09"/>
    <w:rsid w:val="0093287D"/>
    <w:rsid w:val="00A54468"/>
    <w:rsid w:val="00A940A3"/>
    <w:rsid w:val="00C018B6"/>
    <w:rsid w:val="00C3653A"/>
    <w:rsid w:val="00CD16C3"/>
    <w:rsid w:val="00CF5735"/>
    <w:rsid w:val="00F855FD"/>
    <w:rsid w:val="03B35C1C"/>
    <w:rsid w:val="074510D8"/>
    <w:rsid w:val="080F74D0"/>
    <w:rsid w:val="08A70B8D"/>
    <w:rsid w:val="0AE957ED"/>
    <w:rsid w:val="11816E4A"/>
    <w:rsid w:val="1F4121BC"/>
    <w:rsid w:val="23FB3FA9"/>
    <w:rsid w:val="281D742F"/>
    <w:rsid w:val="2E01790C"/>
    <w:rsid w:val="32E7345A"/>
    <w:rsid w:val="32F017DC"/>
    <w:rsid w:val="3AAF4181"/>
    <w:rsid w:val="428E02B6"/>
    <w:rsid w:val="49023484"/>
    <w:rsid w:val="506541AC"/>
    <w:rsid w:val="53FB1C8D"/>
    <w:rsid w:val="59097A03"/>
    <w:rsid w:val="5B1249AE"/>
    <w:rsid w:val="5CC47ACC"/>
    <w:rsid w:val="5D772F07"/>
    <w:rsid w:val="61601AC4"/>
    <w:rsid w:val="622F6E86"/>
    <w:rsid w:val="658F08BB"/>
    <w:rsid w:val="676719D1"/>
    <w:rsid w:val="67CC5B1E"/>
    <w:rsid w:val="67DA171B"/>
    <w:rsid w:val="67E43765"/>
    <w:rsid w:val="68870507"/>
    <w:rsid w:val="719F5315"/>
    <w:rsid w:val="77827000"/>
    <w:rsid w:val="7840028D"/>
    <w:rsid w:val="7C853B3C"/>
    <w:rsid w:val="7FBB2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Hyperlink"/>
    <w:basedOn w:val="4"/>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11</Pages>
  <Words>788</Words>
  <Characters>4492</Characters>
  <Lines>37</Lines>
  <Paragraphs>10</Paragraphs>
  <TotalTime>438</TotalTime>
  <ScaleCrop>false</ScaleCrop>
  <LinksUpToDate>false</LinksUpToDate>
  <CharactersWithSpaces>5270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2021-11-02T07:23:00Z</dcterms:created>
  <dc:creator>徐晓婧(徐晓婧:)</dc:creator>
  <cp:lastModifiedBy>叶嘉华</cp:lastModifiedBy>
  <dcterms:modified xsi:type="dcterms:W3CDTF">2010-12-07T03:35:40Z</dcterms:modified>
  <dc:title>附件1</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2DF52E251F9D4604B9C613108FB81517</vt:lpwstr>
  </property>
</Properties>
</file>